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emf" ContentType="image/x-emf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740C0" w:rsidRPr="008B39AC" w:rsidRDefault="00ED6348" w:rsidP="008740C0">
      <w:pPr>
        <w:jc w:val="center"/>
        <w:rPr>
          <w:rFonts w:ascii="Century Gothic" w:hAnsi="Century Gothic"/>
          <w:b/>
          <w:color w:val="1F497D"/>
          <w:sz w:val="28"/>
        </w:rPr>
      </w:pPr>
      <w:r>
        <w:rPr>
          <w:rFonts w:ascii="Century Gothic" w:hAnsi="Century Gothic"/>
          <w:noProof/>
          <w:sz w:val="12"/>
          <w:lang w:val="es-ES_tradnl" w:eastAsia="es-ES_tradnl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-111760</wp:posOffset>
            </wp:positionV>
            <wp:extent cx="950595" cy="567055"/>
            <wp:effectExtent l="0" t="0" r="1905" b="4445"/>
            <wp:wrapNone/>
            <wp:docPr id="5" name="Imagen 4" descr="Logo JUBILEO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JUBILEO 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40C0" w:rsidRPr="00BA3221" w:rsidRDefault="008740C0" w:rsidP="008740C0">
      <w:pPr>
        <w:jc w:val="center"/>
        <w:rPr>
          <w:rFonts w:ascii="Century Gothic" w:hAnsi="Century Gothic"/>
          <w:b/>
          <w:color w:val="1F497D"/>
          <w:sz w:val="27"/>
        </w:rPr>
      </w:pPr>
    </w:p>
    <w:p w:rsidR="00CD04A7" w:rsidRPr="00803D22" w:rsidRDefault="00A1274A" w:rsidP="00CD04A7">
      <w:pPr>
        <w:pStyle w:val="Sinespaciado1"/>
        <w:jc w:val="center"/>
        <w:rPr>
          <w:rFonts w:ascii="Century Gothic" w:hAnsi="Century Gothic"/>
          <w:b/>
          <w:sz w:val="27"/>
          <w:szCs w:val="28"/>
        </w:rPr>
      </w:pPr>
      <w:r w:rsidRPr="00803D22">
        <w:rPr>
          <w:rFonts w:ascii="Century Gothic" w:hAnsi="Century Gothic"/>
          <w:b/>
          <w:sz w:val="27"/>
          <w:szCs w:val="28"/>
        </w:rPr>
        <w:t xml:space="preserve">HASTA </w:t>
      </w:r>
      <w:r w:rsidR="00803D22" w:rsidRPr="00803D22">
        <w:rPr>
          <w:rFonts w:ascii="Century Gothic" w:hAnsi="Century Gothic"/>
          <w:b/>
          <w:sz w:val="27"/>
          <w:szCs w:val="28"/>
        </w:rPr>
        <w:t xml:space="preserve">AGOSTO </w:t>
      </w:r>
      <w:r w:rsidR="008740C0" w:rsidRPr="00803D22">
        <w:rPr>
          <w:rFonts w:ascii="Century Gothic" w:hAnsi="Century Gothic"/>
          <w:b/>
          <w:sz w:val="27"/>
          <w:szCs w:val="28"/>
        </w:rPr>
        <w:t xml:space="preserve">LA </w:t>
      </w:r>
      <w:r w:rsidRPr="00803D22">
        <w:rPr>
          <w:rFonts w:ascii="Century Gothic" w:hAnsi="Century Gothic"/>
          <w:b/>
          <w:sz w:val="27"/>
          <w:szCs w:val="28"/>
        </w:rPr>
        <w:t xml:space="preserve">VARIACIÓN DE PRECIOS </w:t>
      </w:r>
      <w:r w:rsidR="008740C0" w:rsidRPr="00803D22">
        <w:rPr>
          <w:rFonts w:ascii="Century Gothic" w:hAnsi="Century Gothic"/>
          <w:b/>
          <w:sz w:val="27"/>
          <w:szCs w:val="28"/>
        </w:rPr>
        <w:t xml:space="preserve">DE ALIMENTOS </w:t>
      </w:r>
      <w:r w:rsidR="00973F02">
        <w:rPr>
          <w:rFonts w:ascii="Century Gothic" w:hAnsi="Century Gothic"/>
          <w:b/>
          <w:sz w:val="27"/>
          <w:szCs w:val="28"/>
        </w:rPr>
        <w:br/>
      </w:r>
      <w:r w:rsidR="000F7F4A" w:rsidRPr="00803D22">
        <w:rPr>
          <w:rFonts w:ascii="Century Gothic" w:hAnsi="Century Gothic"/>
          <w:b/>
          <w:sz w:val="27"/>
          <w:szCs w:val="28"/>
        </w:rPr>
        <w:t>EN EL P</w:t>
      </w:r>
      <w:r w:rsidR="00B41617" w:rsidRPr="00803D22">
        <w:rPr>
          <w:rFonts w:ascii="Century Gothic" w:hAnsi="Century Gothic"/>
          <w:b/>
          <w:sz w:val="27"/>
          <w:szCs w:val="28"/>
        </w:rPr>
        <w:t>AÍ</w:t>
      </w:r>
      <w:r w:rsidR="000F7F4A" w:rsidRPr="00803D22">
        <w:rPr>
          <w:rFonts w:ascii="Century Gothic" w:hAnsi="Century Gothic"/>
          <w:b/>
          <w:sz w:val="27"/>
          <w:szCs w:val="28"/>
        </w:rPr>
        <w:t xml:space="preserve">S </w:t>
      </w:r>
      <w:r w:rsidRPr="00803D22">
        <w:rPr>
          <w:rFonts w:ascii="Century Gothic" w:hAnsi="Century Gothic"/>
          <w:b/>
          <w:sz w:val="27"/>
          <w:szCs w:val="28"/>
        </w:rPr>
        <w:t>ES LA M</w:t>
      </w:r>
      <w:r w:rsidR="001955EA">
        <w:rPr>
          <w:rFonts w:ascii="Century Gothic" w:hAnsi="Century Gothic"/>
          <w:b/>
          <w:sz w:val="27"/>
          <w:szCs w:val="28"/>
        </w:rPr>
        <w:t>ÁS BAJA</w:t>
      </w:r>
      <w:r w:rsidRPr="00803D22">
        <w:rPr>
          <w:rFonts w:ascii="Century Gothic" w:hAnsi="Century Gothic"/>
          <w:b/>
          <w:sz w:val="27"/>
          <w:szCs w:val="28"/>
        </w:rPr>
        <w:t xml:space="preserve"> DE </w:t>
      </w:r>
      <w:r w:rsidR="003405CD" w:rsidRPr="00803D22">
        <w:rPr>
          <w:rFonts w:ascii="Century Gothic" w:hAnsi="Century Gothic"/>
          <w:b/>
          <w:sz w:val="27"/>
          <w:szCs w:val="28"/>
        </w:rPr>
        <w:t>LA REGI</w:t>
      </w:r>
      <w:r w:rsidR="00B41617" w:rsidRPr="00803D22">
        <w:rPr>
          <w:rFonts w:ascii="Century Gothic" w:hAnsi="Century Gothic"/>
          <w:b/>
          <w:sz w:val="27"/>
          <w:szCs w:val="28"/>
        </w:rPr>
        <w:t>Ó</w:t>
      </w:r>
      <w:r w:rsidR="003405CD" w:rsidRPr="00803D22">
        <w:rPr>
          <w:rFonts w:ascii="Century Gothic" w:hAnsi="Century Gothic"/>
          <w:b/>
          <w:sz w:val="27"/>
          <w:szCs w:val="28"/>
        </w:rPr>
        <w:t xml:space="preserve">N </w:t>
      </w:r>
    </w:p>
    <w:p w:rsidR="008740C0" w:rsidRPr="008B39AC" w:rsidRDefault="00A46994" w:rsidP="008740C0">
      <w:pPr>
        <w:pStyle w:val="Sinespaciado1"/>
        <w:jc w:val="center"/>
        <w:rPr>
          <w:rFonts w:ascii="Century Gothic" w:hAnsi="Century Gothic"/>
          <w:b/>
          <w:sz w:val="24"/>
          <w:szCs w:val="28"/>
        </w:rPr>
      </w:pPr>
      <w:r w:rsidRPr="00A46994">
        <w:rPr>
          <w:rFonts w:ascii="Century Gothic" w:hAnsi="Century Gothic" w:cs="MyriadPro-Regular"/>
          <w:i/>
          <w:noProof/>
          <w:szCs w:val="24"/>
          <w:lang w:eastAsia="es-ES"/>
        </w:rPr>
        <w:pict>
          <v:roundrect id="AutoShape 7" o:spid="_x0000_s1026" style="position:absolute;left:0;text-align:left;margin-left:-5.55pt;margin-top:13.1pt;width:460.5pt;height:110.25pt;z-index:-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" fillcolor="#e6f1ff" strokecolor="#4a7ebb" strokeweight="1.5pt">
            <v:fill opacity="64764f"/>
            <v:shadow on="t" opacity="22938f" offset="0"/>
            <v:textbox inset=",7.2pt,,7.2pt"/>
          </v:roundrect>
        </w:pict>
      </w:r>
    </w:p>
    <w:p w:rsidR="001955EA" w:rsidRPr="00F32BB5" w:rsidRDefault="001955EA" w:rsidP="001955EA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>L</w:t>
      </w:r>
      <w:r w:rsidRPr="00F32BB5">
        <w:rPr>
          <w:rFonts w:ascii="Century Gothic" w:hAnsi="Century Gothic" w:cs="MyriadPro-Regular"/>
          <w:i/>
          <w:szCs w:val="24"/>
        </w:rPr>
        <w:t xml:space="preserve">a variación de precios de los alimentos </w:t>
      </w:r>
      <w:r>
        <w:rPr>
          <w:rFonts w:ascii="Century Gothic" w:hAnsi="Century Gothic" w:cs="MyriadPro-Regular"/>
          <w:i/>
          <w:szCs w:val="24"/>
        </w:rPr>
        <w:t>fue de 0,46%,</w:t>
      </w:r>
      <w:r w:rsidRPr="00F32BB5">
        <w:rPr>
          <w:rFonts w:ascii="Century Gothic" w:hAnsi="Century Gothic" w:cs="MyriadPro-Regular"/>
          <w:i/>
          <w:szCs w:val="24"/>
        </w:rPr>
        <w:t xml:space="preserve"> </w:t>
      </w:r>
      <w:r>
        <w:rPr>
          <w:rFonts w:ascii="Century Gothic" w:hAnsi="Century Gothic" w:cs="MyriadPro-Regular"/>
          <w:i/>
          <w:szCs w:val="24"/>
        </w:rPr>
        <w:t xml:space="preserve">en agosto, </w:t>
      </w:r>
      <w:r w:rsidRPr="00F32BB5">
        <w:rPr>
          <w:rFonts w:ascii="Century Gothic" w:hAnsi="Century Gothic" w:cs="MyriadPro-Regular"/>
          <w:i/>
          <w:szCs w:val="24"/>
        </w:rPr>
        <w:t>superior al promedio general de precios</w:t>
      </w:r>
      <w:r>
        <w:rPr>
          <w:rFonts w:ascii="Century Gothic" w:hAnsi="Century Gothic" w:cs="MyriadPro-Regular"/>
          <w:i/>
          <w:szCs w:val="24"/>
        </w:rPr>
        <w:t xml:space="preserve"> de</w:t>
      </w:r>
      <w:r w:rsidRPr="00F32BB5">
        <w:rPr>
          <w:rFonts w:ascii="Century Gothic" w:hAnsi="Century Gothic" w:cs="MyriadPro-Regular"/>
          <w:i/>
          <w:szCs w:val="24"/>
        </w:rPr>
        <w:t xml:space="preserve"> 0,20%.</w:t>
      </w:r>
    </w:p>
    <w:p w:rsidR="003045D2" w:rsidRDefault="00973F02" w:rsidP="001955EA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>Según el reporte del INE, e</w:t>
      </w:r>
      <w:r w:rsidR="001955EA">
        <w:rPr>
          <w:rFonts w:ascii="Century Gothic" w:hAnsi="Century Gothic" w:cs="MyriadPro-Regular"/>
          <w:i/>
          <w:szCs w:val="24"/>
        </w:rPr>
        <w:t>ntre enero y agosto, l</w:t>
      </w:r>
      <w:r w:rsidR="001955EA" w:rsidRPr="00F32BB5">
        <w:rPr>
          <w:rFonts w:ascii="Century Gothic" w:hAnsi="Century Gothic" w:cs="MyriadPro-Regular"/>
          <w:i/>
          <w:szCs w:val="24"/>
        </w:rPr>
        <w:t xml:space="preserve">os </w:t>
      </w:r>
      <w:r w:rsidR="003045D2">
        <w:rPr>
          <w:rFonts w:ascii="Century Gothic" w:hAnsi="Century Gothic" w:cs="MyriadPro-Regular"/>
          <w:i/>
          <w:szCs w:val="24"/>
        </w:rPr>
        <w:t xml:space="preserve">precios de los </w:t>
      </w:r>
      <w:r w:rsidR="001955EA" w:rsidRPr="00F32BB5">
        <w:rPr>
          <w:rFonts w:ascii="Century Gothic" w:hAnsi="Century Gothic" w:cs="MyriadPro-Regular"/>
          <w:i/>
          <w:szCs w:val="24"/>
        </w:rPr>
        <w:t>alimentos consumidos fuera del hogar s</w:t>
      </w:r>
      <w:r w:rsidR="001955EA">
        <w:rPr>
          <w:rFonts w:ascii="Century Gothic" w:hAnsi="Century Gothic" w:cs="MyriadPro-Regular"/>
          <w:i/>
          <w:szCs w:val="24"/>
        </w:rPr>
        <w:t>e incrementaron en 3%</w:t>
      </w:r>
      <w:r>
        <w:rPr>
          <w:rFonts w:ascii="Century Gothic" w:hAnsi="Century Gothic" w:cs="MyriadPro-Regular"/>
          <w:i/>
          <w:szCs w:val="24"/>
        </w:rPr>
        <w:t xml:space="preserve">. </w:t>
      </w:r>
    </w:p>
    <w:p w:rsidR="008740C0" w:rsidRPr="002E0E8D" w:rsidRDefault="002E0E8D" w:rsidP="00973F02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>E</w:t>
      </w:r>
      <w:r w:rsidR="00973F02">
        <w:rPr>
          <w:rFonts w:ascii="Century Gothic" w:hAnsi="Century Gothic" w:cs="MyriadPro-Regular"/>
          <w:i/>
          <w:szCs w:val="24"/>
        </w:rPr>
        <w:t xml:space="preserve">l Ministerio de Economía afirma que la facturación en restaurantes aumentó en </w:t>
      </w:r>
      <w:r>
        <w:rPr>
          <w:rFonts w:ascii="Century Gothic" w:hAnsi="Century Gothic" w:cs="MyriadPro-Regular"/>
          <w:i/>
          <w:szCs w:val="24"/>
        </w:rPr>
        <w:t>15</w:t>
      </w:r>
      <w:r w:rsidR="00973F02">
        <w:rPr>
          <w:rFonts w:ascii="Century Gothic" w:hAnsi="Century Gothic" w:cs="MyriadPro-Regular"/>
          <w:i/>
          <w:szCs w:val="24"/>
        </w:rPr>
        <w:t xml:space="preserve">% </w:t>
      </w:r>
      <w:r>
        <w:rPr>
          <w:rFonts w:ascii="Century Gothic" w:hAnsi="Century Gothic" w:cs="MyriadPro-Regular"/>
          <w:i/>
          <w:szCs w:val="24"/>
        </w:rPr>
        <w:t>hasta junio de 2015</w:t>
      </w:r>
      <w:r w:rsidR="00973F02">
        <w:rPr>
          <w:rFonts w:ascii="Century Gothic" w:hAnsi="Century Gothic" w:cs="MyriadPro-Regular"/>
          <w:i/>
          <w:szCs w:val="24"/>
        </w:rPr>
        <w:t xml:space="preserve">. </w:t>
      </w:r>
    </w:p>
    <w:p w:rsidR="002E0E8D" w:rsidRDefault="002E0E8D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</w:p>
    <w:p w:rsidR="000706AD" w:rsidRDefault="006612E3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Lo</w:t>
      </w:r>
      <w:r w:rsidR="008740C0">
        <w:rPr>
          <w:rFonts w:ascii="Century Gothic" w:hAnsi="Century Gothic" w:cs="MyriadPro-Regular"/>
        </w:rPr>
        <w:t xml:space="preserve">s precios de los alimentos </w:t>
      </w:r>
      <w:r w:rsidR="00B17C99">
        <w:rPr>
          <w:rFonts w:ascii="Century Gothic" w:hAnsi="Century Gothic" w:cs="MyriadPro-Regular"/>
        </w:rPr>
        <w:t xml:space="preserve">y bebidas </w:t>
      </w:r>
      <w:r w:rsidR="001955EA">
        <w:rPr>
          <w:rFonts w:ascii="Century Gothic" w:hAnsi="Century Gothic" w:cs="MyriadPro-Regular"/>
        </w:rPr>
        <w:t>para ser consumidos en el hogar</w:t>
      </w:r>
      <w:r w:rsidR="005C2F74">
        <w:rPr>
          <w:rFonts w:ascii="Century Gothic" w:hAnsi="Century Gothic" w:cs="MyriadPro-Regular"/>
        </w:rPr>
        <w:t xml:space="preserve"> </w:t>
      </w:r>
      <w:r w:rsidR="00CD04A7">
        <w:rPr>
          <w:rFonts w:ascii="Century Gothic" w:hAnsi="Century Gothic" w:cs="MyriadPro-Regular"/>
        </w:rPr>
        <w:t xml:space="preserve">se </w:t>
      </w:r>
      <w:r>
        <w:rPr>
          <w:rFonts w:ascii="Century Gothic" w:hAnsi="Century Gothic" w:cs="MyriadPro-Regular"/>
        </w:rPr>
        <w:t xml:space="preserve">incrementaron </w:t>
      </w:r>
      <w:r w:rsidR="000706AD">
        <w:rPr>
          <w:rFonts w:ascii="Century Gothic" w:hAnsi="Century Gothic" w:cs="MyriadPro-Regular"/>
        </w:rPr>
        <w:t xml:space="preserve">en 0,46%, </w:t>
      </w:r>
      <w:r>
        <w:rPr>
          <w:rFonts w:ascii="Century Gothic" w:hAnsi="Century Gothic" w:cs="MyriadPro-Regular"/>
        </w:rPr>
        <w:t xml:space="preserve">durante agosto de 2015, </w:t>
      </w:r>
      <w:r w:rsidR="008740C0">
        <w:rPr>
          <w:rFonts w:ascii="Century Gothic" w:hAnsi="Century Gothic" w:cs="MyriadPro-Regular"/>
        </w:rPr>
        <w:t xml:space="preserve">en comparación al mes anterior. </w:t>
      </w:r>
    </w:p>
    <w:p w:rsidR="00E0662C" w:rsidRDefault="008740C0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Esta variación </w:t>
      </w:r>
      <w:r w:rsidR="00FD4A60">
        <w:rPr>
          <w:rFonts w:ascii="Century Gothic" w:hAnsi="Century Gothic" w:cs="MyriadPro-Regular"/>
        </w:rPr>
        <w:t xml:space="preserve">se produce por </w:t>
      </w:r>
      <w:r w:rsidR="006612E3">
        <w:rPr>
          <w:rFonts w:ascii="Century Gothic" w:hAnsi="Century Gothic" w:cs="MyriadPro-Regular"/>
        </w:rPr>
        <w:t>cuarto</w:t>
      </w:r>
      <w:r w:rsidR="003405CD">
        <w:rPr>
          <w:rFonts w:ascii="Century Gothic" w:hAnsi="Century Gothic" w:cs="MyriadPro-Regular"/>
        </w:rPr>
        <w:t xml:space="preserve"> mes</w:t>
      </w:r>
      <w:r w:rsidR="00FD4A60">
        <w:rPr>
          <w:rFonts w:ascii="Century Gothic" w:hAnsi="Century Gothic" w:cs="MyriadPro-Regular"/>
        </w:rPr>
        <w:t xml:space="preserve"> </w:t>
      </w:r>
      <w:r w:rsidR="003405CD">
        <w:rPr>
          <w:rFonts w:ascii="Century Gothic" w:hAnsi="Century Gothic" w:cs="MyriadPro-Regular"/>
        </w:rPr>
        <w:t>consecutivo</w:t>
      </w:r>
      <w:r w:rsidR="00B41617">
        <w:rPr>
          <w:rFonts w:ascii="Century Gothic" w:hAnsi="Century Gothic" w:cs="MyriadPro-Regular"/>
        </w:rPr>
        <w:t>,</w:t>
      </w:r>
      <w:r w:rsidR="003405CD">
        <w:rPr>
          <w:rFonts w:ascii="Century Gothic" w:hAnsi="Century Gothic" w:cs="MyriadPro-Regular"/>
        </w:rPr>
        <w:t xml:space="preserve"> </w:t>
      </w:r>
      <w:r w:rsidR="00FD4A60">
        <w:rPr>
          <w:rFonts w:ascii="Century Gothic" w:hAnsi="Century Gothic" w:cs="MyriadPro-Regular"/>
        </w:rPr>
        <w:t>en lo que va del año</w:t>
      </w:r>
      <w:r w:rsidR="005C2F74">
        <w:rPr>
          <w:rFonts w:ascii="Century Gothic" w:hAnsi="Century Gothic" w:cs="MyriadPro-Regular"/>
        </w:rPr>
        <w:t xml:space="preserve">, después de que en </w:t>
      </w:r>
      <w:r w:rsidR="00064647">
        <w:rPr>
          <w:rFonts w:ascii="Century Gothic" w:hAnsi="Century Gothic" w:cs="MyriadPro-Regular"/>
        </w:rPr>
        <w:t>dos</w:t>
      </w:r>
      <w:r w:rsidR="003405CD">
        <w:rPr>
          <w:rFonts w:ascii="Century Gothic" w:hAnsi="Century Gothic" w:cs="MyriadPro-Regular"/>
        </w:rPr>
        <w:t xml:space="preserve"> oportunidades</w:t>
      </w:r>
      <w:r w:rsidR="00FD4A60">
        <w:rPr>
          <w:rFonts w:ascii="Century Gothic" w:hAnsi="Century Gothic" w:cs="MyriadPro-Regular"/>
        </w:rPr>
        <w:t xml:space="preserve"> </w:t>
      </w:r>
      <w:r w:rsidR="006612E3">
        <w:rPr>
          <w:rFonts w:ascii="Century Gothic" w:hAnsi="Century Gothic" w:cs="MyriadPro-Regular"/>
        </w:rPr>
        <w:t xml:space="preserve">el precio de los alimentos </w:t>
      </w:r>
      <w:r w:rsidR="00064647">
        <w:rPr>
          <w:rFonts w:ascii="Century Gothic" w:hAnsi="Century Gothic" w:cs="MyriadPro-Regular"/>
        </w:rPr>
        <w:t xml:space="preserve">y bebidas </w:t>
      </w:r>
      <w:r w:rsidR="0010758C">
        <w:rPr>
          <w:rFonts w:ascii="Century Gothic" w:hAnsi="Century Gothic" w:cs="MyriadPro-Regular"/>
        </w:rPr>
        <w:t xml:space="preserve">se </w:t>
      </w:r>
      <w:r w:rsidR="0070584F">
        <w:rPr>
          <w:rFonts w:ascii="Century Gothic" w:hAnsi="Century Gothic" w:cs="MyriadPro-Regular"/>
        </w:rPr>
        <w:t>había</w:t>
      </w:r>
      <w:r w:rsidR="005C2F74">
        <w:rPr>
          <w:rFonts w:ascii="Century Gothic" w:hAnsi="Century Gothic" w:cs="MyriadPro-Regular"/>
        </w:rPr>
        <w:t>n</w:t>
      </w:r>
      <w:r w:rsidR="0070584F">
        <w:rPr>
          <w:rFonts w:ascii="Century Gothic" w:hAnsi="Century Gothic" w:cs="MyriadPro-Regular"/>
        </w:rPr>
        <w:t xml:space="preserve"> reducido</w:t>
      </w:r>
      <w:r w:rsidR="00E0662C">
        <w:rPr>
          <w:rFonts w:ascii="Century Gothic" w:hAnsi="Century Gothic" w:cs="MyriadPro-Regular"/>
        </w:rPr>
        <w:t xml:space="preserve"> (marzo -2,19 y abril -1,5%)</w:t>
      </w:r>
      <w:r w:rsidR="0010758C">
        <w:rPr>
          <w:rFonts w:ascii="Century Gothic" w:hAnsi="Century Gothic" w:cs="MyriadPro-Regular"/>
        </w:rPr>
        <w:t>.</w:t>
      </w:r>
    </w:p>
    <w:p w:rsidR="008740C0" w:rsidRDefault="00E0662C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La variación del precio de los alimentos de 0,46% es mayor a la variación del nivel general de</w:t>
      </w:r>
      <w:r w:rsidR="00785507">
        <w:rPr>
          <w:rFonts w:ascii="Century Gothic" w:hAnsi="Century Gothic" w:cs="MyriadPro-Regular"/>
        </w:rPr>
        <w:t xml:space="preserve">l Índice </w:t>
      </w:r>
      <w:r w:rsidR="007C1215">
        <w:rPr>
          <w:rFonts w:ascii="Century Gothic" w:hAnsi="Century Gothic" w:cs="MyriadPro-Regular"/>
        </w:rPr>
        <w:t>de Precios al Consumidor (IPC)</w:t>
      </w:r>
      <w:r>
        <w:rPr>
          <w:rFonts w:ascii="Century Gothic" w:hAnsi="Century Gothic" w:cs="MyriadPro-Regular"/>
        </w:rPr>
        <w:t xml:space="preserve"> que alcanzó a 0,20%, durante ese mes.</w:t>
      </w:r>
    </w:p>
    <w:p w:rsidR="00E0662C" w:rsidRDefault="00E0662C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Entre enero y</w:t>
      </w:r>
      <w:r w:rsidR="0010758C">
        <w:rPr>
          <w:rFonts w:ascii="Century Gothic" w:hAnsi="Century Gothic" w:cs="MyriadPro-Regular"/>
        </w:rPr>
        <w:t xml:space="preserve"> agosto, la variación acumulada del precio de los alimentos y bebidas llegó a 1,23%, menor a la variación acumulada del conjunto de bienes y servicios que hasta agosto alcanz</w:t>
      </w:r>
      <w:r>
        <w:rPr>
          <w:rFonts w:ascii="Century Gothic" w:hAnsi="Century Gothic" w:cs="MyriadPro-Regular"/>
        </w:rPr>
        <w:t>ó</w:t>
      </w:r>
      <w:r w:rsidR="0010758C">
        <w:rPr>
          <w:rFonts w:ascii="Century Gothic" w:hAnsi="Century Gothic" w:cs="MyriadPro-Regular"/>
        </w:rPr>
        <w:t xml:space="preserve"> a 1,91%</w:t>
      </w:r>
      <w:r>
        <w:rPr>
          <w:rFonts w:ascii="Century Gothic" w:hAnsi="Century Gothic" w:cs="MyriadPro-Regular"/>
        </w:rPr>
        <w:t>.</w:t>
      </w:r>
    </w:p>
    <w:p w:rsidR="0010758C" w:rsidRDefault="0010758C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</w:p>
    <w:p w:rsidR="0010758C" w:rsidRDefault="00C464A7" w:rsidP="0010758C">
      <w:pPr>
        <w:pStyle w:val="Sinespaciado1"/>
        <w:spacing w:before="120" w:after="120"/>
        <w:jc w:val="center"/>
        <w:rPr>
          <w:rFonts w:ascii="Century Gothic" w:hAnsi="Century Gothic" w:cs="MyriadPro-Regular"/>
        </w:rPr>
      </w:pPr>
      <w:r w:rsidRPr="00C464A7">
        <w:rPr>
          <w:noProof/>
          <w:lang w:val="es-ES_tradnl" w:eastAsia="es-ES_tradnl"/>
        </w:rPr>
        <w:drawing>
          <wp:inline distT="0" distB="0" distL="0" distR="0">
            <wp:extent cx="4524598" cy="2671762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134" cy="2672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CBF" w:rsidRDefault="00672CBF" w:rsidP="00672CBF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En ambos casos</w:t>
      </w:r>
      <w:r w:rsidR="00E0662C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IPC general e IPC de alimentos</w:t>
      </w:r>
      <w:r w:rsidR="00E0662C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y transcurridos ocho meses de esta gestión, están lejos de la meta fijada por el Gobierno para la gestión 2015. El IPC general estaría por debajo de 3 puntos porcentuales.</w:t>
      </w:r>
    </w:p>
    <w:p w:rsidR="00C464A7" w:rsidRDefault="00C464A7" w:rsidP="00672CBF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bookmarkStart w:id="0" w:name="_GoBack"/>
      <w:bookmarkEnd w:id="0"/>
    </w:p>
    <w:p w:rsidR="00F60C4B" w:rsidRPr="00F60C4B" w:rsidRDefault="00E0662C" w:rsidP="00F60C4B">
      <w:pPr>
        <w:pStyle w:val="Sinespaciado1"/>
        <w:spacing w:before="120" w:after="120"/>
        <w:jc w:val="both"/>
        <w:rPr>
          <w:rFonts w:ascii="Century Gothic" w:hAnsi="Century Gothic" w:cs="MyriadPro-Regular"/>
          <w:b/>
        </w:rPr>
      </w:pPr>
      <w:r>
        <w:rPr>
          <w:rFonts w:ascii="Century Gothic" w:hAnsi="Century Gothic" w:cs="MyriadPro-Regular"/>
          <w:b/>
        </w:rPr>
        <w:t>A</w:t>
      </w:r>
      <w:r w:rsidR="00F60C4B" w:rsidRPr="00F60C4B">
        <w:rPr>
          <w:rFonts w:ascii="Century Gothic" w:hAnsi="Century Gothic" w:cs="MyriadPro-Regular"/>
          <w:b/>
        </w:rPr>
        <w:t xml:space="preserve">limentos consumidos fuera del hogar </w:t>
      </w:r>
      <w:r>
        <w:rPr>
          <w:rFonts w:ascii="Century Gothic" w:hAnsi="Century Gothic" w:cs="MyriadPro-Regular"/>
          <w:b/>
        </w:rPr>
        <w:t>con mayor incremento</w:t>
      </w:r>
    </w:p>
    <w:p w:rsidR="008E48BE" w:rsidRDefault="008E48BE" w:rsidP="00F60C4B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Hasta agosto de 2015 l</w:t>
      </w:r>
      <w:r w:rsidR="00F60C4B">
        <w:rPr>
          <w:rFonts w:ascii="Century Gothic" w:hAnsi="Century Gothic" w:cs="MyriadPro-Regular"/>
        </w:rPr>
        <w:t>a variación acumulada de</w:t>
      </w:r>
      <w:r w:rsidR="00DB1E7F">
        <w:rPr>
          <w:rFonts w:ascii="Century Gothic" w:hAnsi="Century Gothic" w:cs="MyriadPro-Regular"/>
        </w:rPr>
        <w:t>l</w:t>
      </w:r>
      <w:r w:rsidR="00F60C4B">
        <w:rPr>
          <w:rFonts w:ascii="Century Gothic" w:hAnsi="Century Gothic" w:cs="MyriadPro-Regular"/>
        </w:rPr>
        <w:t xml:space="preserve"> precio de alimentos</w:t>
      </w:r>
      <w:r>
        <w:rPr>
          <w:rFonts w:ascii="Century Gothic" w:hAnsi="Century Gothic" w:cs="MyriadPro-Regular"/>
        </w:rPr>
        <w:t xml:space="preserve"> </w:t>
      </w:r>
      <w:r w:rsidR="00785507">
        <w:rPr>
          <w:rFonts w:ascii="Century Gothic" w:hAnsi="Century Gothic" w:cs="MyriadPro-Regular"/>
        </w:rPr>
        <w:t xml:space="preserve">y bebidas </w:t>
      </w:r>
      <w:r>
        <w:rPr>
          <w:rFonts w:ascii="Century Gothic" w:hAnsi="Century Gothic" w:cs="MyriadPro-Regular"/>
        </w:rPr>
        <w:t xml:space="preserve">consumidos fuera del hogar </w:t>
      </w:r>
      <w:r w:rsidR="00E0662C">
        <w:rPr>
          <w:rFonts w:ascii="Century Gothic" w:hAnsi="Century Gothic" w:cs="MyriadPro-Regular"/>
        </w:rPr>
        <w:t xml:space="preserve">fue de </w:t>
      </w:r>
      <w:r>
        <w:rPr>
          <w:rFonts w:ascii="Century Gothic" w:hAnsi="Century Gothic" w:cs="MyriadPro-Regular"/>
        </w:rPr>
        <w:t>3</w:t>
      </w:r>
      <w:r w:rsidR="00B4763B">
        <w:rPr>
          <w:rFonts w:ascii="Century Gothic" w:hAnsi="Century Gothic" w:cs="MyriadPro-Regular"/>
        </w:rPr>
        <w:t>,3</w:t>
      </w:r>
      <w:r>
        <w:rPr>
          <w:rFonts w:ascii="Century Gothic" w:hAnsi="Century Gothic" w:cs="MyriadPro-Regular"/>
        </w:rPr>
        <w:t>%</w:t>
      </w:r>
      <w:r w:rsidR="00DB1E7F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</w:t>
      </w:r>
      <w:r w:rsidR="00E0662C">
        <w:rPr>
          <w:rFonts w:ascii="Century Gothic" w:hAnsi="Century Gothic" w:cs="MyriadPro-Regular"/>
        </w:rPr>
        <w:t>en cambio</w:t>
      </w:r>
      <w:r>
        <w:rPr>
          <w:rFonts w:ascii="Century Gothic" w:hAnsi="Century Gothic" w:cs="MyriadPro-Regular"/>
        </w:rPr>
        <w:t xml:space="preserve"> la variación de los precios de alimentos comprados para ser consumidos en el hogar </w:t>
      </w:r>
      <w:r w:rsidR="004D0497">
        <w:rPr>
          <w:rFonts w:ascii="Century Gothic" w:hAnsi="Century Gothic" w:cs="MyriadPro-Regular"/>
        </w:rPr>
        <w:t xml:space="preserve">fue de </w:t>
      </w:r>
      <w:r w:rsidR="00B4763B">
        <w:rPr>
          <w:rFonts w:ascii="Century Gothic" w:hAnsi="Century Gothic" w:cs="MyriadPro-Regular"/>
        </w:rPr>
        <w:t>1</w:t>
      </w:r>
      <w:r>
        <w:rPr>
          <w:rFonts w:ascii="Century Gothic" w:hAnsi="Century Gothic" w:cs="MyriadPro-Regular"/>
        </w:rPr>
        <w:t>,</w:t>
      </w:r>
      <w:r w:rsidR="00B4763B">
        <w:rPr>
          <w:rFonts w:ascii="Century Gothic" w:hAnsi="Century Gothic" w:cs="MyriadPro-Regular"/>
        </w:rPr>
        <w:t>2</w:t>
      </w:r>
      <w:r>
        <w:rPr>
          <w:rFonts w:ascii="Century Gothic" w:hAnsi="Century Gothic" w:cs="MyriadPro-Regular"/>
        </w:rPr>
        <w:t>%</w:t>
      </w:r>
      <w:r w:rsidR="00F90813">
        <w:rPr>
          <w:rFonts w:ascii="Century Gothic" w:hAnsi="Century Gothic" w:cs="MyriadPro-Regular"/>
        </w:rPr>
        <w:t>.</w:t>
      </w:r>
    </w:p>
    <w:p w:rsidR="00F60C4B" w:rsidRPr="00F60C4B" w:rsidRDefault="00F02A53" w:rsidP="00584306">
      <w:pPr>
        <w:pStyle w:val="Sinespaciado1"/>
        <w:spacing w:before="120" w:after="120"/>
        <w:jc w:val="center"/>
        <w:rPr>
          <w:rFonts w:ascii="Century Gothic" w:hAnsi="Century Gothic" w:cs="MyriadPro-Regular"/>
        </w:rPr>
      </w:pPr>
      <w:r w:rsidRPr="00F02A53">
        <w:rPr>
          <w:noProof/>
          <w:lang w:val="es-ES_tradnl" w:eastAsia="es-ES_tradnl"/>
        </w:rPr>
        <w:drawing>
          <wp:inline distT="0" distB="0" distL="0" distR="0">
            <wp:extent cx="4486275" cy="220950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85" cy="221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CBF" w:rsidRDefault="00672CBF" w:rsidP="00672CBF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Según el último reporte del INE, en agosto, el a</w:t>
      </w:r>
      <w:r w:rsidRPr="00FE7B8E">
        <w:rPr>
          <w:rFonts w:ascii="Century Gothic" w:hAnsi="Century Gothic" w:cs="MyriadPro-Regular"/>
        </w:rPr>
        <w:t>lmuerzo consumido fuera del hogar</w:t>
      </w:r>
      <w:r>
        <w:rPr>
          <w:rFonts w:ascii="Century Gothic" w:hAnsi="Century Gothic" w:cs="MyriadPro-Regular"/>
        </w:rPr>
        <w:t xml:space="preserve"> se incrementó en </w:t>
      </w:r>
      <w:r w:rsidRPr="00FE7B8E">
        <w:rPr>
          <w:rFonts w:ascii="Century Gothic" w:hAnsi="Century Gothic" w:cs="MyriadPro-Regular"/>
        </w:rPr>
        <w:t>0,33</w:t>
      </w:r>
      <w:r>
        <w:rPr>
          <w:rFonts w:ascii="Century Gothic" w:hAnsi="Century Gothic" w:cs="MyriadPro-Regular"/>
        </w:rPr>
        <w:t>%, s</w:t>
      </w:r>
      <w:r w:rsidRPr="00FE7B8E">
        <w:rPr>
          <w:rFonts w:ascii="Century Gothic" w:hAnsi="Century Gothic" w:cs="MyriadPro-Regular"/>
        </w:rPr>
        <w:t>alteña</w:t>
      </w:r>
      <w:r>
        <w:rPr>
          <w:rFonts w:ascii="Century Gothic" w:hAnsi="Century Gothic" w:cs="MyriadPro-Regular"/>
        </w:rPr>
        <w:t xml:space="preserve"> </w:t>
      </w:r>
      <w:r w:rsidRPr="00FE7B8E">
        <w:rPr>
          <w:rFonts w:ascii="Century Gothic" w:hAnsi="Century Gothic" w:cs="MyriadPro-Regular"/>
        </w:rPr>
        <w:t>1,22</w:t>
      </w:r>
      <w:r>
        <w:rPr>
          <w:rFonts w:ascii="Century Gothic" w:hAnsi="Century Gothic" w:cs="MyriadPro-Regular"/>
        </w:rPr>
        <w:t>%, d</w:t>
      </w:r>
      <w:r w:rsidRPr="00FE7B8E">
        <w:rPr>
          <w:rFonts w:ascii="Century Gothic" w:hAnsi="Century Gothic" w:cs="MyriadPro-Regular"/>
        </w:rPr>
        <w:t>esayuno</w:t>
      </w:r>
      <w:r>
        <w:rPr>
          <w:rFonts w:ascii="Century Gothic" w:hAnsi="Century Gothic" w:cs="MyriadPro-Regular"/>
        </w:rPr>
        <w:t xml:space="preserve"> </w:t>
      </w:r>
      <w:r w:rsidRPr="00FE7B8E">
        <w:rPr>
          <w:rFonts w:ascii="Century Gothic" w:hAnsi="Century Gothic" w:cs="MyriadPro-Regular"/>
        </w:rPr>
        <w:t>0,84</w:t>
      </w:r>
      <w:r>
        <w:rPr>
          <w:rFonts w:ascii="Century Gothic" w:hAnsi="Century Gothic" w:cs="MyriadPro-Regular"/>
        </w:rPr>
        <w:t>%, p</w:t>
      </w:r>
      <w:r w:rsidRPr="00FE7B8E">
        <w:rPr>
          <w:rFonts w:ascii="Century Gothic" w:hAnsi="Century Gothic" w:cs="MyriadPro-Regular"/>
        </w:rPr>
        <w:t>lato especial</w:t>
      </w:r>
      <w:r>
        <w:rPr>
          <w:rFonts w:ascii="Century Gothic" w:hAnsi="Century Gothic" w:cs="MyriadPro-Regular"/>
        </w:rPr>
        <w:t xml:space="preserve"> </w:t>
      </w:r>
      <w:r w:rsidRPr="00FE7B8E">
        <w:rPr>
          <w:rFonts w:ascii="Century Gothic" w:hAnsi="Century Gothic" w:cs="MyriadPro-Regular"/>
        </w:rPr>
        <w:t>0,31</w:t>
      </w:r>
      <w:r>
        <w:rPr>
          <w:rFonts w:ascii="Century Gothic" w:hAnsi="Century Gothic" w:cs="MyriadPro-Regular"/>
        </w:rPr>
        <w:t>%, h</w:t>
      </w:r>
      <w:r w:rsidRPr="00FE7B8E">
        <w:rPr>
          <w:rFonts w:ascii="Century Gothic" w:hAnsi="Century Gothic" w:cs="MyriadPro-Regular"/>
        </w:rPr>
        <w:t>amburguesa</w:t>
      </w:r>
      <w:r>
        <w:rPr>
          <w:rFonts w:ascii="Century Gothic" w:hAnsi="Century Gothic" w:cs="MyriadPro-Regular"/>
        </w:rPr>
        <w:t xml:space="preserve"> </w:t>
      </w:r>
      <w:r w:rsidRPr="00FE7B8E">
        <w:rPr>
          <w:rFonts w:ascii="Century Gothic" w:hAnsi="Century Gothic" w:cs="MyriadPro-Regular"/>
        </w:rPr>
        <w:t>0,45</w:t>
      </w:r>
      <w:r>
        <w:rPr>
          <w:rFonts w:ascii="Century Gothic" w:hAnsi="Century Gothic" w:cs="MyriadPro-Regular"/>
        </w:rPr>
        <w:t>% y c</w:t>
      </w:r>
      <w:r w:rsidRPr="00FE7B8E">
        <w:rPr>
          <w:rFonts w:ascii="Century Gothic" w:hAnsi="Century Gothic" w:cs="MyriadPro-Regular"/>
        </w:rPr>
        <w:t>ena</w:t>
      </w:r>
      <w:r>
        <w:rPr>
          <w:rFonts w:ascii="Century Gothic" w:hAnsi="Century Gothic" w:cs="MyriadPro-Regular"/>
        </w:rPr>
        <w:t xml:space="preserve"> </w:t>
      </w:r>
      <w:r w:rsidRPr="00FE7B8E">
        <w:rPr>
          <w:rFonts w:ascii="Century Gothic" w:hAnsi="Century Gothic" w:cs="MyriadPro-Regular"/>
        </w:rPr>
        <w:t>0,11</w:t>
      </w:r>
      <w:r>
        <w:rPr>
          <w:rFonts w:ascii="Century Gothic" w:hAnsi="Century Gothic" w:cs="MyriadPro-Regular"/>
        </w:rPr>
        <w:t>%.</w:t>
      </w:r>
    </w:p>
    <w:p w:rsidR="00785507" w:rsidRPr="00785507" w:rsidRDefault="00785507" w:rsidP="00A91038">
      <w:pPr>
        <w:pStyle w:val="Sinespaciado1"/>
        <w:spacing w:before="120" w:after="120"/>
        <w:jc w:val="both"/>
        <w:rPr>
          <w:rFonts w:ascii="Century Gothic" w:hAnsi="Century Gothic" w:cs="MyriadPro-Regular"/>
          <w:b/>
        </w:rPr>
      </w:pPr>
      <w:r w:rsidRPr="00785507">
        <w:rPr>
          <w:rFonts w:ascii="Century Gothic" w:hAnsi="Century Gothic" w:cs="MyriadPro-Regular"/>
          <w:b/>
        </w:rPr>
        <w:t xml:space="preserve">Gasto en </w:t>
      </w:r>
      <w:r>
        <w:rPr>
          <w:rFonts w:ascii="Century Gothic" w:hAnsi="Century Gothic" w:cs="MyriadPro-Regular"/>
          <w:b/>
        </w:rPr>
        <w:t xml:space="preserve">compra de </w:t>
      </w:r>
      <w:r w:rsidRPr="00785507">
        <w:rPr>
          <w:rFonts w:ascii="Century Gothic" w:hAnsi="Century Gothic" w:cs="MyriadPro-Regular"/>
          <w:b/>
        </w:rPr>
        <w:t>alimentos fuera del hogar</w:t>
      </w:r>
    </w:p>
    <w:p w:rsidR="00A91038" w:rsidRDefault="00757646" w:rsidP="00A9103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Al analizar la importancia o peso en la estructura de la canasta familiar, definida en los años 2003-2004, los hogares destinan para la compra de alimentos y bebidas consumidos fuera del hogar el </w:t>
      </w:r>
      <w:r w:rsidRPr="004D5FA4">
        <w:rPr>
          <w:rFonts w:ascii="Century Gothic" w:hAnsi="Century Gothic" w:cs="MyriadPro-Regular"/>
        </w:rPr>
        <w:t>10,9</w:t>
      </w:r>
      <w:r>
        <w:rPr>
          <w:rFonts w:ascii="Century Gothic" w:hAnsi="Century Gothic" w:cs="MyriadPro-Regular"/>
        </w:rPr>
        <w:t>%</w:t>
      </w:r>
      <w:r w:rsidR="00785507">
        <w:rPr>
          <w:rFonts w:ascii="Century Gothic" w:hAnsi="Century Gothic" w:cs="MyriadPro-Regular"/>
        </w:rPr>
        <w:t xml:space="preserve"> de su gasto total</w:t>
      </w:r>
      <w:r>
        <w:rPr>
          <w:rFonts w:ascii="Century Gothic" w:hAnsi="Century Gothic" w:cs="MyriadPro-Regular"/>
        </w:rPr>
        <w:t xml:space="preserve">, mientras que el gasto destinado para la compra de alimentos y bebidas consumidas en el hogar es de </w:t>
      </w:r>
      <w:r w:rsidR="00A91038" w:rsidRPr="004D5FA4">
        <w:rPr>
          <w:rFonts w:ascii="Century Gothic" w:hAnsi="Century Gothic" w:cs="MyriadPro-Regular"/>
        </w:rPr>
        <w:t>2</w:t>
      </w:r>
      <w:r w:rsidR="00672CBF">
        <w:rPr>
          <w:rFonts w:ascii="Century Gothic" w:hAnsi="Century Gothic" w:cs="MyriadPro-Regular"/>
        </w:rPr>
        <w:t>7</w:t>
      </w:r>
      <w:r w:rsidR="00A91038" w:rsidRPr="004D5FA4">
        <w:rPr>
          <w:rFonts w:ascii="Century Gothic" w:hAnsi="Century Gothic" w:cs="MyriadPro-Regular"/>
        </w:rPr>
        <w:t>,4</w:t>
      </w:r>
      <w:r w:rsidR="00A91038">
        <w:rPr>
          <w:rFonts w:ascii="Century Gothic" w:hAnsi="Century Gothic" w:cs="MyriadPro-Regular"/>
        </w:rPr>
        <w:t>%</w:t>
      </w:r>
      <w:r w:rsidR="00584306">
        <w:rPr>
          <w:rFonts w:ascii="Century Gothic" w:hAnsi="Century Gothic" w:cs="MyriadPro-Regular"/>
        </w:rPr>
        <w:t>.</w:t>
      </w:r>
    </w:p>
    <w:p w:rsidR="003045D2" w:rsidRDefault="0021590F" w:rsidP="00A9103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Sin embargo, h</w:t>
      </w:r>
      <w:r w:rsidR="00672CBF">
        <w:rPr>
          <w:rFonts w:ascii="Century Gothic" w:hAnsi="Century Gothic" w:cs="MyriadPro-Regular"/>
        </w:rPr>
        <w:t xml:space="preserve">an pasado más de </w:t>
      </w:r>
      <w:r w:rsidR="00757646">
        <w:rPr>
          <w:rFonts w:ascii="Century Gothic" w:hAnsi="Century Gothic" w:cs="MyriadPro-Regular"/>
        </w:rPr>
        <w:t>10</w:t>
      </w:r>
      <w:r w:rsidR="00672CBF">
        <w:rPr>
          <w:rFonts w:ascii="Century Gothic" w:hAnsi="Century Gothic" w:cs="MyriadPro-Regular"/>
        </w:rPr>
        <w:t xml:space="preserve"> años y </w:t>
      </w:r>
      <w:r w:rsidR="00DD6C10">
        <w:rPr>
          <w:rFonts w:ascii="Century Gothic" w:hAnsi="Century Gothic" w:cs="MyriadPro-Regular"/>
        </w:rPr>
        <w:t xml:space="preserve">la </w:t>
      </w:r>
      <w:r w:rsidR="00672CBF">
        <w:rPr>
          <w:rFonts w:ascii="Century Gothic" w:hAnsi="Century Gothic" w:cs="MyriadPro-Regular"/>
        </w:rPr>
        <w:t xml:space="preserve">estructura </w:t>
      </w:r>
      <w:r w:rsidR="00DF4669">
        <w:rPr>
          <w:rFonts w:ascii="Century Gothic" w:hAnsi="Century Gothic" w:cs="MyriadPro-Regular"/>
        </w:rPr>
        <w:t xml:space="preserve">de gasto </w:t>
      </w:r>
      <w:r w:rsidR="00672CBF">
        <w:rPr>
          <w:rFonts w:ascii="Century Gothic" w:hAnsi="Century Gothic" w:cs="MyriadPro-Regular"/>
        </w:rPr>
        <w:t xml:space="preserve">de los hogares </w:t>
      </w:r>
      <w:r w:rsidR="00DD6C10">
        <w:rPr>
          <w:rFonts w:ascii="Century Gothic" w:hAnsi="Century Gothic" w:cs="MyriadPro-Regular"/>
        </w:rPr>
        <w:t xml:space="preserve">que se utiliza para los reportes oficiales </w:t>
      </w:r>
      <w:r w:rsidR="00785507">
        <w:rPr>
          <w:rFonts w:ascii="Century Gothic" w:hAnsi="Century Gothic" w:cs="MyriadPro-Regular"/>
        </w:rPr>
        <w:t xml:space="preserve">para el cálculo del IPC </w:t>
      </w:r>
      <w:r w:rsidR="00DD6C10">
        <w:rPr>
          <w:rFonts w:ascii="Century Gothic" w:hAnsi="Century Gothic" w:cs="MyriadPro-Regular"/>
        </w:rPr>
        <w:t xml:space="preserve">no </w:t>
      </w:r>
      <w:r w:rsidR="00DF4669">
        <w:rPr>
          <w:rFonts w:ascii="Century Gothic" w:hAnsi="Century Gothic" w:cs="MyriadPro-Regular"/>
        </w:rPr>
        <w:t xml:space="preserve">ha </w:t>
      </w:r>
      <w:r w:rsidR="00785507">
        <w:rPr>
          <w:rFonts w:ascii="Century Gothic" w:hAnsi="Century Gothic" w:cs="MyriadPro-Regular"/>
        </w:rPr>
        <w:t>sido actualizada</w:t>
      </w:r>
      <w:r w:rsidR="003045D2">
        <w:rPr>
          <w:rFonts w:ascii="Century Gothic" w:hAnsi="Century Gothic" w:cs="MyriadPro-Regular"/>
        </w:rPr>
        <w:t>.</w:t>
      </w:r>
    </w:p>
    <w:p w:rsidR="00A91038" w:rsidRDefault="00785507" w:rsidP="00A9103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I</w:t>
      </w:r>
      <w:r w:rsidR="00DD6C10">
        <w:rPr>
          <w:rFonts w:ascii="Century Gothic" w:hAnsi="Century Gothic" w:cs="MyriadPro-Regular"/>
        </w:rPr>
        <w:t>nformes</w:t>
      </w:r>
      <w:r w:rsidR="00DF4669">
        <w:rPr>
          <w:rFonts w:ascii="Century Gothic" w:hAnsi="Century Gothic" w:cs="MyriadPro-Regular"/>
        </w:rPr>
        <w:t xml:space="preserve"> r</w:t>
      </w:r>
      <w:r w:rsidR="00A91038" w:rsidRPr="008316C9">
        <w:rPr>
          <w:rFonts w:ascii="Century Gothic" w:hAnsi="Century Gothic" w:cs="MyriadPro-Regular"/>
        </w:rPr>
        <w:t>eciente</w:t>
      </w:r>
      <w:r w:rsidR="00DF4669">
        <w:rPr>
          <w:rFonts w:ascii="Century Gothic" w:hAnsi="Century Gothic" w:cs="MyriadPro-Regular"/>
        </w:rPr>
        <w:t>s</w:t>
      </w:r>
      <w:r w:rsidR="00A91038" w:rsidRPr="008316C9">
        <w:rPr>
          <w:rFonts w:ascii="Century Gothic" w:hAnsi="Century Gothic" w:cs="MyriadPro-Regular"/>
        </w:rPr>
        <w:t xml:space="preserve"> del </w:t>
      </w:r>
      <w:r w:rsidR="00757646">
        <w:rPr>
          <w:rFonts w:ascii="Century Gothic" w:hAnsi="Century Gothic" w:cs="MyriadPro-Regular"/>
        </w:rPr>
        <w:t>Ministerio de E</w:t>
      </w:r>
      <w:r w:rsidR="00A91038" w:rsidRPr="008316C9">
        <w:rPr>
          <w:rFonts w:ascii="Century Gothic" w:hAnsi="Century Gothic" w:cs="MyriadPro-Regular"/>
        </w:rPr>
        <w:t xml:space="preserve">conomía </w:t>
      </w:r>
      <w:r w:rsidR="00EC046D">
        <w:rPr>
          <w:rFonts w:ascii="Century Gothic" w:hAnsi="Century Gothic" w:cs="MyriadPro-Regular"/>
        </w:rPr>
        <w:t>reportan que</w:t>
      </w:r>
      <w:r w:rsidR="00A91038" w:rsidRPr="008316C9">
        <w:rPr>
          <w:rFonts w:ascii="Century Gothic" w:hAnsi="Century Gothic" w:cs="MyriadPro-Regular"/>
        </w:rPr>
        <w:t xml:space="preserve"> en los últimos años </w:t>
      </w:r>
      <w:r w:rsidR="00EC046D" w:rsidRPr="008316C9">
        <w:rPr>
          <w:rFonts w:ascii="Century Gothic" w:hAnsi="Century Gothic" w:cs="MyriadPro-Regular"/>
        </w:rPr>
        <w:t xml:space="preserve">ha existido </w:t>
      </w:r>
      <w:r w:rsidR="00A91038" w:rsidRPr="008316C9">
        <w:rPr>
          <w:rFonts w:ascii="Century Gothic" w:hAnsi="Century Gothic" w:cs="MyriadPro-Regular"/>
        </w:rPr>
        <w:t>un incremento en la facturación de los restaurantes</w:t>
      </w:r>
      <w:r w:rsidR="00D26859">
        <w:rPr>
          <w:rFonts w:ascii="Century Gothic" w:hAnsi="Century Gothic" w:cs="MyriadPro-Regular"/>
        </w:rPr>
        <w:t>,</w:t>
      </w:r>
      <w:r w:rsidR="00A91038" w:rsidRPr="008316C9">
        <w:rPr>
          <w:rFonts w:ascii="Century Gothic" w:hAnsi="Century Gothic" w:cs="MyriadPro-Regular"/>
        </w:rPr>
        <w:t xml:space="preserve"> impulsados por la expansión de la demanda interna</w:t>
      </w:r>
      <w:r w:rsidR="00EC046D">
        <w:rPr>
          <w:rFonts w:ascii="Century Gothic" w:hAnsi="Century Gothic" w:cs="MyriadPro-Regular"/>
        </w:rPr>
        <w:t>. E</w:t>
      </w:r>
      <w:r w:rsidR="00A91038" w:rsidRPr="008316C9">
        <w:rPr>
          <w:rFonts w:ascii="Century Gothic" w:hAnsi="Century Gothic" w:cs="MyriadPro-Regular"/>
        </w:rPr>
        <w:t xml:space="preserve">l documento </w:t>
      </w:r>
      <w:r w:rsidR="007C1215">
        <w:rPr>
          <w:rFonts w:ascii="Century Gothic" w:hAnsi="Century Gothic" w:cs="MyriadPro-Regular"/>
        </w:rPr>
        <w:t>señala</w:t>
      </w:r>
      <w:r w:rsidR="00A91038" w:rsidRPr="008316C9">
        <w:rPr>
          <w:rFonts w:ascii="Century Gothic" w:hAnsi="Century Gothic" w:cs="MyriadPro-Regular"/>
        </w:rPr>
        <w:t xml:space="preserve"> que los establecimientos de servicios de comida incrementaron en </w:t>
      </w:r>
      <w:r w:rsidR="007C1215">
        <w:rPr>
          <w:rFonts w:ascii="Century Gothic" w:hAnsi="Century Gothic" w:cs="MyriadPro-Regular"/>
        </w:rPr>
        <w:t>15%</w:t>
      </w:r>
      <w:r w:rsidR="00EC046D">
        <w:rPr>
          <w:rFonts w:ascii="Century Gothic" w:hAnsi="Century Gothic" w:cs="MyriadPro-Regular"/>
        </w:rPr>
        <w:t xml:space="preserve"> </w:t>
      </w:r>
      <w:r w:rsidR="007C1215">
        <w:rPr>
          <w:rFonts w:ascii="Century Gothic" w:hAnsi="Century Gothic" w:cs="MyriadPro-Regular"/>
        </w:rPr>
        <w:t>hasta junio de 2015</w:t>
      </w:r>
      <w:r w:rsidR="00A91038" w:rsidRPr="008316C9">
        <w:rPr>
          <w:rFonts w:ascii="Century Gothic" w:hAnsi="Century Gothic" w:cs="MyriadPro-Regular"/>
        </w:rPr>
        <w:t xml:space="preserve">, respecto </w:t>
      </w:r>
      <w:r w:rsidR="00EC046D">
        <w:rPr>
          <w:rFonts w:ascii="Century Gothic" w:hAnsi="Century Gothic" w:cs="MyriadPro-Regular"/>
        </w:rPr>
        <w:t xml:space="preserve">al </w:t>
      </w:r>
      <w:r w:rsidR="007C1215">
        <w:rPr>
          <w:rFonts w:ascii="Century Gothic" w:hAnsi="Century Gothic" w:cs="MyriadPro-Regular"/>
        </w:rPr>
        <w:t xml:space="preserve">mismo periodo del </w:t>
      </w:r>
      <w:r w:rsidR="00EC046D">
        <w:rPr>
          <w:rFonts w:ascii="Century Gothic" w:hAnsi="Century Gothic" w:cs="MyriadPro-Regular"/>
        </w:rPr>
        <w:t>año anterior</w:t>
      </w:r>
      <w:r w:rsidR="00A91038" w:rsidRPr="008316C9">
        <w:rPr>
          <w:rFonts w:ascii="Century Gothic" w:hAnsi="Century Gothic" w:cs="MyriadPro-Regular"/>
        </w:rPr>
        <w:t>.</w:t>
      </w:r>
    </w:p>
    <w:p w:rsidR="00B26C6F" w:rsidRDefault="00B26C6F" w:rsidP="00B26C6F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De la misma forma</w:t>
      </w:r>
      <w:r w:rsidR="00EC046D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</w:t>
      </w:r>
      <w:r w:rsidRPr="00B26C6F">
        <w:rPr>
          <w:rFonts w:ascii="Century Gothic" w:hAnsi="Century Gothic" w:cs="MyriadPro-Regular"/>
        </w:rPr>
        <w:t>la Organización Panamericana de la Salud (OPS)</w:t>
      </w:r>
      <w:r>
        <w:rPr>
          <w:rFonts w:ascii="Century Gothic" w:hAnsi="Century Gothic" w:cs="MyriadPro-Regular"/>
        </w:rPr>
        <w:t xml:space="preserve"> advirtió que l</w:t>
      </w:r>
      <w:r w:rsidRPr="00B26C6F">
        <w:rPr>
          <w:rFonts w:ascii="Century Gothic" w:hAnsi="Century Gothic" w:cs="MyriadPro-Regular"/>
        </w:rPr>
        <w:t xml:space="preserve">a venta </w:t>
      </w:r>
      <w:r w:rsidR="008F0AB8">
        <w:rPr>
          <w:rFonts w:ascii="Century Gothic" w:hAnsi="Century Gothic" w:cs="MyriadPro-Regular"/>
        </w:rPr>
        <w:t xml:space="preserve">per cápita </w:t>
      </w:r>
      <w:r w:rsidRPr="00B26C6F">
        <w:rPr>
          <w:rFonts w:ascii="Century Gothic" w:hAnsi="Century Gothic" w:cs="MyriadPro-Regular"/>
        </w:rPr>
        <w:t xml:space="preserve">de comida rápida </w:t>
      </w:r>
      <w:r w:rsidR="00C57047" w:rsidRPr="00B26C6F">
        <w:rPr>
          <w:rFonts w:ascii="Century Gothic" w:hAnsi="Century Gothic" w:cs="MyriadPro-Regular"/>
        </w:rPr>
        <w:t>ha</w:t>
      </w:r>
      <w:r w:rsidRPr="00B26C6F">
        <w:rPr>
          <w:rFonts w:ascii="Century Gothic" w:hAnsi="Century Gothic" w:cs="MyriadPro-Regular"/>
        </w:rPr>
        <w:t xml:space="preserve"> aumentado en América Latina, </w:t>
      </w:r>
      <w:r>
        <w:rPr>
          <w:rFonts w:ascii="Century Gothic" w:hAnsi="Century Gothic" w:cs="MyriadPro-Regular"/>
        </w:rPr>
        <w:t xml:space="preserve">y Bolivia seria uno de los  países con mayor </w:t>
      </w:r>
      <w:r w:rsidRPr="00B26C6F">
        <w:rPr>
          <w:rFonts w:ascii="Century Gothic" w:hAnsi="Century Gothic" w:cs="MyriadPro-Regular"/>
        </w:rPr>
        <w:t>crecimiento</w:t>
      </w:r>
      <w:r w:rsidR="00EC046D">
        <w:rPr>
          <w:rFonts w:ascii="Century Gothic" w:hAnsi="Century Gothic" w:cs="MyriadPro-Regular"/>
        </w:rPr>
        <w:t>, con</w:t>
      </w:r>
      <w:r w:rsidRPr="00B26C6F">
        <w:rPr>
          <w:rFonts w:ascii="Century Gothic" w:hAnsi="Century Gothic" w:cs="MyriadPro-Regular"/>
        </w:rPr>
        <w:t xml:space="preserve"> 130%</w:t>
      </w:r>
      <w:r>
        <w:rPr>
          <w:rFonts w:ascii="Century Gothic" w:hAnsi="Century Gothic" w:cs="MyriadPro-Regular"/>
        </w:rPr>
        <w:t>.</w:t>
      </w:r>
    </w:p>
    <w:p w:rsidR="00E16BF9" w:rsidRDefault="00672CBF" w:rsidP="00B26C6F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</w:t>
      </w:r>
      <w:r w:rsidR="00FB66BC">
        <w:rPr>
          <w:rFonts w:ascii="Century Gothic" w:hAnsi="Century Gothic" w:cs="MyriadPro-Regular"/>
        </w:rPr>
        <w:t>s necesaria</w:t>
      </w:r>
      <w:r>
        <w:rPr>
          <w:rFonts w:ascii="Century Gothic" w:hAnsi="Century Gothic" w:cs="MyriadPro-Regular"/>
        </w:rPr>
        <w:t xml:space="preserve"> una nueva investigación para conocer la actual estructura de gasto q</w:t>
      </w:r>
      <w:r w:rsidR="00160DC9">
        <w:rPr>
          <w:rFonts w:ascii="Century Gothic" w:hAnsi="Century Gothic" w:cs="MyriadPro-Regular"/>
        </w:rPr>
        <w:t>ue tiene</w:t>
      </w:r>
      <w:r w:rsidR="00715696">
        <w:rPr>
          <w:rFonts w:ascii="Century Gothic" w:hAnsi="Century Gothic" w:cs="MyriadPro-Regular"/>
        </w:rPr>
        <w:t>n</w:t>
      </w:r>
      <w:r w:rsidR="00160DC9">
        <w:rPr>
          <w:rFonts w:ascii="Century Gothic" w:hAnsi="Century Gothic" w:cs="MyriadPro-Regular"/>
        </w:rPr>
        <w:t xml:space="preserve"> los hogares bolivianos</w:t>
      </w:r>
      <w:r>
        <w:rPr>
          <w:rFonts w:ascii="Century Gothic" w:hAnsi="Century Gothic" w:cs="MyriadPro-Regular"/>
        </w:rPr>
        <w:t>.</w:t>
      </w:r>
    </w:p>
    <w:p w:rsidR="00A52D9F" w:rsidRPr="00E36E0B" w:rsidRDefault="00A52D9F" w:rsidP="00A52D9F">
      <w:pPr>
        <w:pStyle w:val="Sinespaciado1"/>
        <w:spacing w:before="120" w:after="120"/>
        <w:jc w:val="both"/>
        <w:rPr>
          <w:rFonts w:ascii="Century Gothic" w:hAnsi="Century Gothic" w:cs="MyriadPro-Regular"/>
          <w:b/>
        </w:rPr>
      </w:pPr>
      <w:r>
        <w:rPr>
          <w:rFonts w:ascii="Century Gothic" w:hAnsi="Century Gothic" w:cs="MyriadPro-Regular"/>
          <w:b/>
        </w:rPr>
        <w:t>M</w:t>
      </w:r>
      <w:r w:rsidRPr="00E36E0B">
        <w:rPr>
          <w:rFonts w:ascii="Century Gothic" w:hAnsi="Century Gothic" w:cs="MyriadPro-Regular"/>
          <w:b/>
        </w:rPr>
        <w:t xml:space="preserve">enor variación en alimentos y bebidas en Sudamérica </w:t>
      </w:r>
    </w:p>
    <w:p w:rsidR="00A52D9F" w:rsidRPr="00E36E0B" w:rsidRDefault="00A52D9F" w:rsidP="00A52D9F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En Bolivia, la tasa de variación acumulada hasta agosto de los precios promedio de alimentos y bebidas es de 1,23%. </w:t>
      </w:r>
      <w:r w:rsidRPr="00E36E0B">
        <w:rPr>
          <w:rFonts w:ascii="Century Gothic" w:hAnsi="Century Gothic" w:cs="MyriadPro-Regular"/>
        </w:rPr>
        <w:t>Con est</w:t>
      </w:r>
      <w:r>
        <w:rPr>
          <w:rFonts w:ascii="Century Gothic" w:hAnsi="Century Gothic" w:cs="MyriadPro-Regular"/>
        </w:rPr>
        <w:t>e</w:t>
      </w:r>
      <w:r w:rsidRPr="00E36E0B">
        <w:rPr>
          <w:rFonts w:ascii="Century Gothic" w:hAnsi="Century Gothic" w:cs="MyriadPro-Regular"/>
        </w:rPr>
        <w:t xml:space="preserve"> resultado</w:t>
      </w:r>
      <w:r>
        <w:rPr>
          <w:rFonts w:ascii="Century Gothic" w:hAnsi="Century Gothic" w:cs="MyriadPro-Regular"/>
        </w:rPr>
        <w:t>,</w:t>
      </w:r>
      <w:r w:rsidRPr="00E36E0B">
        <w:rPr>
          <w:rFonts w:ascii="Century Gothic" w:hAnsi="Century Gothic" w:cs="MyriadPro-Regular"/>
        </w:rPr>
        <w:t xml:space="preserve"> y comparando con otros países de Sudamérica, la variación de precios de los alimentos en lo que va del año es la más baja de la región.</w:t>
      </w:r>
    </w:p>
    <w:p w:rsidR="00A52D9F" w:rsidRDefault="008B41FA" w:rsidP="00A52D9F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Transcurridos ocho meses</w:t>
      </w:r>
      <w:r w:rsidR="00A52D9F">
        <w:rPr>
          <w:rFonts w:ascii="Century Gothic" w:hAnsi="Century Gothic" w:cs="MyriadPro-Regular"/>
        </w:rPr>
        <w:t xml:space="preserve"> del año,</w:t>
      </w:r>
      <w:r>
        <w:rPr>
          <w:rFonts w:ascii="Century Gothic" w:hAnsi="Century Gothic" w:cs="MyriadPro-Regular"/>
        </w:rPr>
        <w:t xml:space="preserve"> </w:t>
      </w:r>
      <w:r w:rsidR="00B7115B">
        <w:rPr>
          <w:rFonts w:ascii="Century Gothic" w:hAnsi="Century Gothic" w:cs="MyriadPro-Regular"/>
        </w:rPr>
        <w:t xml:space="preserve">Argentina </w:t>
      </w:r>
      <w:r w:rsidR="00A52D9F">
        <w:rPr>
          <w:rFonts w:ascii="Century Gothic" w:hAnsi="Century Gothic" w:cs="MyriadPro-Regular"/>
        </w:rPr>
        <w:t xml:space="preserve">registra </w:t>
      </w:r>
      <w:r w:rsidR="00B7115B">
        <w:rPr>
          <w:rFonts w:ascii="Century Gothic" w:hAnsi="Century Gothic" w:cs="MyriadPro-Regular"/>
        </w:rPr>
        <w:t xml:space="preserve">7,6%, </w:t>
      </w:r>
      <w:r w:rsidR="00CF23D8">
        <w:rPr>
          <w:rFonts w:ascii="Century Gothic" w:hAnsi="Century Gothic" w:cs="MyriadPro-Regular"/>
        </w:rPr>
        <w:t>Brasil 7,3%</w:t>
      </w:r>
      <w:r w:rsidR="00B7115B">
        <w:rPr>
          <w:rFonts w:ascii="Century Gothic" w:hAnsi="Century Gothic" w:cs="MyriadPro-Regular"/>
        </w:rPr>
        <w:t xml:space="preserve"> y</w:t>
      </w:r>
      <w:r w:rsidR="00CF23D8">
        <w:rPr>
          <w:rFonts w:ascii="Century Gothic" w:hAnsi="Century Gothic" w:cs="MyriadPro-Regular"/>
        </w:rPr>
        <w:t xml:space="preserve"> </w:t>
      </w:r>
      <w:r w:rsidR="00A52D9F">
        <w:rPr>
          <w:rFonts w:ascii="Century Gothic" w:hAnsi="Century Gothic" w:cs="MyriadPro-Regular"/>
        </w:rPr>
        <w:t>Uruguay 7,1%, siendo las tasas más altas respecto al incremento de precios de los alimentos.</w:t>
      </w:r>
    </w:p>
    <w:p w:rsidR="00CD51C1" w:rsidRDefault="00B7115B" w:rsidP="00A52D9F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B7115B">
        <w:rPr>
          <w:noProof/>
          <w:lang w:val="es-ES_tradnl" w:eastAsia="es-ES_tradnl"/>
        </w:rPr>
        <w:drawing>
          <wp:inline distT="0" distB="0" distL="0" distR="0">
            <wp:extent cx="4419600" cy="2249099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023" cy="2251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3D8" w:rsidRPr="00AB53D8" w:rsidRDefault="00CF23D8" w:rsidP="00CF23D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Según el </w:t>
      </w:r>
      <w:r w:rsidR="00F67FA6" w:rsidRPr="00F67FA6">
        <w:rPr>
          <w:rFonts w:ascii="Century Gothic" w:hAnsi="Century Gothic" w:cs="MyriadPro-Regular"/>
        </w:rPr>
        <w:t>índice de precios de los alimentos de la FAO</w:t>
      </w:r>
      <w:r w:rsidR="00A52D9F">
        <w:rPr>
          <w:rFonts w:ascii="Century Gothic" w:hAnsi="Century Gothic" w:cs="MyriadPro-Regular"/>
        </w:rPr>
        <w:t>, correspondiente a</w:t>
      </w:r>
      <w:r w:rsidR="00F67FA6">
        <w:rPr>
          <w:rFonts w:ascii="Century Gothic" w:hAnsi="Century Gothic" w:cs="MyriadPro-Regular"/>
        </w:rPr>
        <w:t xml:space="preserve"> agosto, </w:t>
      </w:r>
      <w:r w:rsidR="00A52D9F">
        <w:rPr>
          <w:rFonts w:ascii="Century Gothic" w:hAnsi="Century Gothic" w:cs="MyriadPro-Regular"/>
        </w:rPr>
        <w:t>se</w:t>
      </w:r>
      <w:r w:rsidR="00F67FA6">
        <w:rPr>
          <w:rFonts w:ascii="Century Gothic" w:hAnsi="Century Gothic" w:cs="MyriadPro-Regular"/>
        </w:rPr>
        <w:t xml:space="preserve"> </w:t>
      </w:r>
      <w:r w:rsidR="00A52D9F">
        <w:rPr>
          <w:rFonts w:ascii="Century Gothic" w:hAnsi="Century Gothic" w:cs="MyriadPro-Regular"/>
        </w:rPr>
        <w:t>registró</w:t>
      </w:r>
      <w:r w:rsidR="00F67FA6" w:rsidRPr="00F67FA6">
        <w:rPr>
          <w:rFonts w:ascii="Century Gothic" w:hAnsi="Century Gothic" w:cs="MyriadPro-Regular"/>
        </w:rPr>
        <w:t xml:space="preserve"> un descenso de </w:t>
      </w:r>
      <w:r w:rsidR="00F67FA6">
        <w:rPr>
          <w:rFonts w:ascii="Century Gothic" w:hAnsi="Century Gothic" w:cs="MyriadPro-Regular"/>
        </w:rPr>
        <w:t>-</w:t>
      </w:r>
      <w:r w:rsidR="00A52D9F">
        <w:rPr>
          <w:rFonts w:ascii="Century Gothic" w:hAnsi="Century Gothic" w:cs="MyriadPro-Regular"/>
        </w:rPr>
        <w:t>5,2</w:t>
      </w:r>
      <w:r w:rsidR="00F67FA6" w:rsidRPr="00F67FA6">
        <w:rPr>
          <w:rFonts w:ascii="Century Gothic" w:hAnsi="Century Gothic" w:cs="MyriadPro-Regular"/>
        </w:rPr>
        <w:t xml:space="preserve">% con respecto a julio, lo que representa la </w:t>
      </w:r>
      <w:r w:rsidR="00F67FA6">
        <w:rPr>
          <w:rFonts w:ascii="Century Gothic" w:hAnsi="Century Gothic" w:cs="MyriadPro-Regular"/>
        </w:rPr>
        <w:t xml:space="preserve">mayor </w:t>
      </w:r>
      <w:r w:rsidR="00F67FA6" w:rsidRPr="00F67FA6">
        <w:rPr>
          <w:rFonts w:ascii="Century Gothic" w:hAnsi="Century Gothic" w:cs="MyriadPro-Regular"/>
        </w:rPr>
        <w:t xml:space="preserve">caída mensual desde diciembre de 2008. </w:t>
      </w:r>
    </w:p>
    <w:p w:rsidR="008740C0" w:rsidRDefault="00AB53D8" w:rsidP="00F67FA6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AB53D8">
        <w:rPr>
          <w:rFonts w:ascii="Century Gothic" w:hAnsi="Century Gothic" w:cs="MyriadPro-Regular"/>
        </w:rPr>
        <w:t>L</w:t>
      </w:r>
      <w:r w:rsidR="00CF23D8">
        <w:rPr>
          <w:rFonts w:ascii="Century Gothic" w:hAnsi="Century Gothic" w:cs="MyriadPro-Regular"/>
        </w:rPr>
        <w:t>a explicación es que l</w:t>
      </w:r>
      <w:r w:rsidRPr="00AB53D8">
        <w:rPr>
          <w:rFonts w:ascii="Century Gothic" w:hAnsi="Century Gothic" w:cs="MyriadPro-Regular"/>
        </w:rPr>
        <w:t>os precios mundiales de los alimentos cayeron con fuerza en agosto, arrastrados por la abundancia de suministros y factores externos, incluyendo un declive en los precios de la energía y las preocupaciones sobre una ralentización económica en China</w:t>
      </w:r>
    </w:p>
    <w:p w:rsidR="00F67FA6" w:rsidRDefault="0080301A" w:rsidP="00AB53D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El índice de la FAO</w:t>
      </w:r>
      <w:r w:rsidR="00AB53D8" w:rsidRPr="00AB53D8">
        <w:rPr>
          <w:rFonts w:ascii="Century Gothic" w:hAnsi="Century Gothic" w:cs="MyriadPro-Regular"/>
        </w:rPr>
        <w:t xml:space="preserve"> mide la evolución </w:t>
      </w:r>
      <w:r w:rsidR="006D0422">
        <w:rPr>
          <w:rFonts w:ascii="Century Gothic" w:hAnsi="Century Gothic" w:cs="MyriadPro-Regular"/>
        </w:rPr>
        <w:t xml:space="preserve">internacional </w:t>
      </w:r>
      <w:r w:rsidR="00AB53D8" w:rsidRPr="00AB53D8">
        <w:rPr>
          <w:rFonts w:ascii="Century Gothic" w:hAnsi="Century Gothic" w:cs="MyriadPro-Regular"/>
        </w:rPr>
        <w:t>mensual de los precios de una canasta de cereales, semillas oleaginosas, productos lácteos, carne y azúcar.</w:t>
      </w:r>
      <w:r w:rsidR="00F67FA6">
        <w:rPr>
          <w:rFonts w:ascii="Century Gothic" w:hAnsi="Century Gothic" w:cs="MyriadPro-Regular"/>
        </w:rPr>
        <w:t xml:space="preserve"> </w:t>
      </w:r>
      <w:r w:rsidR="00F67FA6" w:rsidRPr="00F67FA6">
        <w:rPr>
          <w:rFonts w:ascii="Century Gothic" w:hAnsi="Century Gothic" w:cs="MyriadPro-Regular"/>
        </w:rPr>
        <w:t>El descenso afectó a todos los productos básicos registrados en el índice excepto la carne, cuyos precios</w:t>
      </w:r>
      <w:r w:rsidR="003844D6">
        <w:rPr>
          <w:rFonts w:ascii="Century Gothic" w:hAnsi="Century Gothic" w:cs="MyriadPro-Regular"/>
        </w:rPr>
        <w:t>,</w:t>
      </w:r>
      <w:r w:rsidR="00F67FA6" w:rsidRPr="00F67FA6">
        <w:rPr>
          <w:rFonts w:ascii="Century Gothic" w:hAnsi="Century Gothic" w:cs="MyriadPro-Regular"/>
        </w:rPr>
        <w:t xml:space="preserve"> en general</w:t>
      </w:r>
      <w:r w:rsidR="003844D6">
        <w:rPr>
          <w:rFonts w:ascii="Century Gothic" w:hAnsi="Century Gothic" w:cs="MyriadPro-Regular"/>
        </w:rPr>
        <w:t>,</w:t>
      </w:r>
      <w:r w:rsidR="00F67FA6" w:rsidRPr="00F67FA6">
        <w:rPr>
          <w:rFonts w:ascii="Century Gothic" w:hAnsi="Century Gothic" w:cs="MyriadPro-Regular"/>
        </w:rPr>
        <w:t xml:space="preserve"> </w:t>
      </w:r>
      <w:r w:rsidR="003844D6" w:rsidRPr="00F67FA6">
        <w:rPr>
          <w:rFonts w:ascii="Century Gothic" w:hAnsi="Century Gothic" w:cs="MyriadPro-Regular"/>
        </w:rPr>
        <w:t xml:space="preserve">permanecieron </w:t>
      </w:r>
      <w:r w:rsidR="00F67FA6" w:rsidRPr="00F67FA6">
        <w:rPr>
          <w:rFonts w:ascii="Century Gothic" w:hAnsi="Century Gothic" w:cs="MyriadPro-Regular"/>
        </w:rPr>
        <w:t>estables.</w:t>
      </w:r>
    </w:p>
    <w:p w:rsidR="00F67FA6" w:rsidRDefault="00F67FA6" w:rsidP="00AB53D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En el país</w:t>
      </w:r>
      <w:r w:rsidR="007C1215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los sectores con menores ingresos se </w:t>
      </w:r>
      <w:r w:rsidR="00DF18CD">
        <w:rPr>
          <w:rFonts w:ascii="Century Gothic" w:hAnsi="Century Gothic" w:cs="MyriadPro-Regular"/>
        </w:rPr>
        <w:t>ven</w:t>
      </w:r>
      <w:r>
        <w:rPr>
          <w:rFonts w:ascii="Century Gothic" w:hAnsi="Century Gothic" w:cs="MyriadPro-Regular"/>
        </w:rPr>
        <w:t xml:space="preserve"> </w:t>
      </w:r>
      <w:r w:rsidR="007C1215">
        <w:rPr>
          <w:rFonts w:ascii="Century Gothic" w:hAnsi="Century Gothic" w:cs="MyriadPro-Regular"/>
        </w:rPr>
        <w:t>favorecidos</w:t>
      </w:r>
      <w:r>
        <w:rPr>
          <w:rFonts w:ascii="Century Gothic" w:hAnsi="Century Gothic" w:cs="MyriadPro-Regular"/>
        </w:rPr>
        <w:t xml:space="preserve"> cuando bajan los precios de los alimentos porque en su estru</w:t>
      </w:r>
      <w:r w:rsidR="007C1215">
        <w:rPr>
          <w:rFonts w:ascii="Century Gothic" w:hAnsi="Century Gothic" w:cs="MyriadPro-Regular"/>
        </w:rPr>
        <w:t>ctura de gastos destinan más de</w:t>
      </w:r>
      <w:r>
        <w:rPr>
          <w:rFonts w:ascii="Century Gothic" w:hAnsi="Century Gothic" w:cs="MyriadPro-Regular"/>
        </w:rPr>
        <w:t xml:space="preserve"> 50% a la compra de </w:t>
      </w:r>
      <w:r w:rsidR="0026503B">
        <w:rPr>
          <w:rFonts w:ascii="Century Gothic" w:hAnsi="Century Gothic" w:cs="MyriadPro-Regular"/>
        </w:rPr>
        <w:t>é</w:t>
      </w:r>
      <w:r>
        <w:rPr>
          <w:rFonts w:ascii="Century Gothic" w:hAnsi="Century Gothic" w:cs="MyriadPro-Regular"/>
        </w:rPr>
        <w:t>stos.</w:t>
      </w:r>
    </w:p>
    <w:p w:rsidR="00672CBF" w:rsidRDefault="00672CBF" w:rsidP="00AB53D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</w:p>
    <w:p w:rsidR="008740C0" w:rsidRPr="009169A6" w:rsidRDefault="008740C0" w:rsidP="008740C0">
      <w:pPr>
        <w:pStyle w:val="Sinespaciado1"/>
        <w:spacing w:before="120" w:after="120"/>
        <w:rPr>
          <w:rFonts w:ascii="Century Gothic" w:hAnsi="Century Gothic" w:cs="MyriadPro-Regular"/>
          <w:color w:val="7F7F7F"/>
          <w:sz w:val="16"/>
        </w:rPr>
      </w:pPr>
      <w:r w:rsidRPr="009169A6">
        <w:rPr>
          <w:rFonts w:ascii="Century Gothic" w:hAnsi="Century Gothic" w:cs="MyriadPro-Regular"/>
          <w:color w:val="7F7F7F"/>
          <w:sz w:val="16"/>
        </w:rPr>
        <w:t>Fundación Jubileo</w:t>
      </w:r>
      <w:r w:rsidRPr="009169A6">
        <w:rPr>
          <w:rFonts w:ascii="Century Gothic" w:hAnsi="Century Gothic" w:cs="MyriadPro-Regular"/>
          <w:color w:val="7F7F7F"/>
          <w:sz w:val="16"/>
        </w:rPr>
        <w:br/>
      </w:r>
      <w:r w:rsidR="00F67FA6">
        <w:rPr>
          <w:rFonts w:ascii="Century Gothic" w:hAnsi="Century Gothic" w:cs="MyriadPro-Regular"/>
          <w:color w:val="7F7F7F"/>
          <w:sz w:val="16"/>
        </w:rPr>
        <w:t xml:space="preserve">Septiembre </w:t>
      </w:r>
      <w:r w:rsidRPr="009169A6">
        <w:rPr>
          <w:rFonts w:ascii="Century Gothic" w:hAnsi="Century Gothic" w:cs="MyriadPro-Regular"/>
          <w:color w:val="7F7F7F"/>
          <w:sz w:val="16"/>
        </w:rPr>
        <w:t>201</w:t>
      </w:r>
      <w:r w:rsidR="00F67FA6">
        <w:rPr>
          <w:rFonts w:ascii="Century Gothic" w:hAnsi="Century Gothic" w:cs="MyriadPro-Regular"/>
          <w:color w:val="7F7F7F"/>
          <w:sz w:val="16"/>
        </w:rPr>
        <w:t>5</w:t>
      </w:r>
    </w:p>
    <w:sectPr w:rsidR="008740C0" w:rsidRPr="009169A6" w:rsidSect="008740C0">
      <w:headerReference w:type="default" r:id="rId12"/>
      <w:footerReference w:type="default" r:id="rId13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7C1215" w:rsidRDefault="007C1215" w:rsidP="008740C0">
      <w:pPr>
        <w:spacing w:after="0" w:line="240" w:lineRule="auto"/>
      </w:pPr>
      <w:r>
        <w:separator/>
      </w:r>
    </w:p>
  </w:endnote>
  <w:endnote w:type="continuationSeparator" w:id="1">
    <w:p w:rsidR="007C1215" w:rsidRDefault="007C1215" w:rsidP="00874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C1215" w:rsidRPr="00531C65" w:rsidRDefault="007C1215">
    <w:pPr>
      <w:pStyle w:val="Piedepgina"/>
      <w:jc w:val="right"/>
      <w:rPr>
        <w:sz w:val="20"/>
      </w:rPr>
    </w:pPr>
    <w:fldSimple w:instr=" PAGE   \* MERGEFORMAT ">
      <w:r w:rsidR="00E724D8" w:rsidRPr="00E724D8">
        <w:rPr>
          <w:noProof/>
          <w:sz w:val="20"/>
        </w:rPr>
        <w:t>1</w:t>
      </w:r>
    </w:fldSimple>
  </w:p>
  <w:p w:rsidR="007C1215" w:rsidRPr="00531C65" w:rsidRDefault="007C1215">
    <w:pPr>
      <w:pStyle w:val="Piedepgina"/>
      <w:rPr>
        <w:sz w:val="20"/>
      </w:rPr>
    </w:pPr>
    <w:r w:rsidRPr="00A46994">
      <w:rPr>
        <w:noProof/>
        <w:sz w:val="20"/>
        <w:lang w:eastAsia="es-ES"/>
      </w:rPr>
      <w:pict>
        <v:rect id="Rectangle 4" o:spid="_x0000_s4096" style="position:absolute;margin-left:-11.3pt;margin-top:6.6pt;width:474pt;height:5.3pt;flip:y;z-index:25165824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-34 0 -34 15428 21600 15428 21600 0 -3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" fillcolor="#036" stroked="f">
          <w10:wrap type="tight"/>
        </v:rect>
      </w:pict>
    </w: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7C1215" w:rsidRDefault="007C1215" w:rsidP="008740C0">
      <w:pPr>
        <w:spacing w:after="0" w:line="240" w:lineRule="auto"/>
      </w:pPr>
      <w:r>
        <w:separator/>
      </w:r>
    </w:p>
  </w:footnote>
  <w:footnote w:type="continuationSeparator" w:id="1">
    <w:p w:rsidR="007C1215" w:rsidRDefault="007C1215" w:rsidP="00874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C1215" w:rsidRDefault="007C1215">
    <w:pPr>
      <w:pStyle w:val="Encabezado"/>
    </w:pPr>
    <w:r w:rsidRPr="00A46994">
      <w:rPr>
        <w:noProof/>
        <w:lang w:eastAsia="es-ES"/>
      </w:rPr>
      <w:pict>
        <v:group id="Group 1" o:spid="_x0000_s4097" style="position:absolute;margin-left:-11.3pt;margin-top:5.4pt;width:471pt;height:5.3pt;z-index:251657216" coordorigin="1699,3060" coordsize="8820,115" wrapcoords="-34 0 -34 3085 17369 15428 19329 15428 21634 15428 21668 0 -3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">
          <v:line id="Line 2" o:spid="_x0000_s4099" style="position:absolute;visibility:visible;mso-wrap-style:square" from="1699,3060" to="10519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FFc8AAAADaAAAADwAAAGRycy9kb3ducmV2LnhtbESPQYvCMBSE74L/ITxhb5q6ByvVKEUQ&#10;Vk9WBa+P5tkWm5fSRFP//WZhweMwM98w6+1gWvGi3jWWFcxnCQji0uqGKwXXy366BOE8ssbWMil4&#10;k4PtZjxaY6Zt4IJeZ1+JCGGXoYLa+y6T0pU1GXQz2xFH7257gz7KvpK6xxDhppXfSbKQBhuOCzV2&#10;tKupfJyfRsEtD7f54ZIHv0+LU9idBnNMC6W+JkO+AuFp8J/wf/tHK0jh70q8AX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VRRXPAAAAA2gAAAA8AAAAAAAAAAAAAAAAA&#10;oQIAAGRycy9kb3ducmV2LnhtbFBLBQYAAAAABAAEAPkAAACOAwAAAAA=&#10;" strokecolor="#036"/>
          <v:rect id="Rectangle 3" o:spid="_x0000_s4098" style="position:absolute;left:9619;top:3060;width:900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0T88UA&#10;AADaAAAADwAAAGRycy9kb3ducmV2LnhtbESPQWvCQBSE7wX/w/IKXopu7EFqmo2IEigFi01U8PbI&#10;viah2bchu5r033eFQo/DzHzDJOvRtOJGvWssK1jMIxDEpdUNVwqORTZ7AeE8ssbWMin4IQfrdPKQ&#10;YKztwJ90y30lAoRdjApq77tYSlfWZNDNbUccvC/bG/RB9pXUPQ4Bblr5HEVLabDhsFBjR9uayu/8&#10;ahQU2ftl+Fgt95fm6bQ7VNn+nG+0UtPHcfMKwtPo/8N/7TetYAX3K+EG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bRPzxQAAANoAAAAPAAAAAAAAAAAAAAAAAJgCAABkcnMv&#10;ZG93bnJldi54bWxQSwUGAAAAAAQABAD1AAAAigMAAAAA&#10;" fillcolor="#036" stroked="f"/>
          <w10:wrap type="tight"/>
        </v:group>
      </w:pic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33474A8"/>
    <w:multiLevelType w:val="hybridMultilevel"/>
    <w:tmpl w:val="49EC6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stylePaneFormatFilter w:val="3701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02">
      <o:colormru v:ext="edit" colors="#4c9fff,#e6f1ff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C7E17"/>
    <w:rsid w:val="00064647"/>
    <w:rsid w:val="00064B65"/>
    <w:rsid w:val="000706AD"/>
    <w:rsid w:val="000C3C2B"/>
    <w:rsid w:val="000E6E3B"/>
    <w:rsid w:val="000F7F4A"/>
    <w:rsid w:val="0010758C"/>
    <w:rsid w:val="00123E98"/>
    <w:rsid w:val="00160DC9"/>
    <w:rsid w:val="00174E50"/>
    <w:rsid w:val="001955EA"/>
    <w:rsid w:val="001B0C85"/>
    <w:rsid w:val="001B2D34"/>
    <w:rsid w:val="001C7E17"/>
    <w:rsid w:val="001E05D0"/>
    <w:rsid w:val="00205FBB"/>
    <w:rsid w:val="0021590F"/>
    <w:rsid w:val="0026503B"/>
    <w:rsid w:val="00267138"/>
    <w:rsid w:val="002A6834"/>
    <w:rsid w:val="002C15B8"/>
    <w:rsid w:val="002E0E8D"/>
    <w:rsid w:val="003045D2"/>
    <w:rsid w:val="00330C4B"/>
    <w:rsid w:val="003405CD"/>
    <w:rsid w:val="003844D6"/>
    <w:rsid w:val="003B6A43"/>
    <w:rsid w:val="00476501"/>
    <w:rsid w:val="004A07D2"/>
    <w:rsid w:val="004C1A10"/>
    <w:rsid w:val="004D0497"/>
    <w:rsid w:val="004D4869"/>
    <w:rsid w:val="004D5FA4"/>
    <w:rsid w:val="005702ED"/>
    <w:rsid w:val="00584306"/>
    <w:rsid w:val="005C2F74"/>
    <w:rsid w:val="005D1BEE"/>
    <w:rsid w:val="005E6624"/>
    <w:rsid w:val="00633066"/>
    <w:rsid w:val="00634C06"/>
    <w:rsid w:val="00634DC9"/>
    <w:rsid w:val="00645CB6"/>
    <w:rsid w:val="006612E3"/>
    <w:rsid w:val="00672CBF"/>
    <w:rsid w:val="00693092"/>
    <w:rsid w:val="006D0422"/>
    <w:rsid w:val="0070584F"/>
    <w:rsid w:val="00715696"/>
    <w:rsid w:val="00726A36"/>
    <w:rsid w:val="00746F05"/>
    <w:rsid w:val="00757646"/>
    <w:rsid w:val="0076297F"/>
    <w:rsid w:val="00785507"/>
    <w:rsid w:val="007C1215"/>
    <w:rsid w:val="007D0624"/>
    <w:rsid w:val="007D4A2F"/>
    <w:rsid w:val="0080301A"/>
    <w:rsid w:val="00803D22"/>
    <w:rsid w:val="008046CC"/>
    <w:rsid w:val="008316C9"/>
    <w:rsid w:val="008377A9"/>
    <w:rsid w:val="0086591C"/>
    <w:rsid w:val="008740C0"/>
    <w:rsid w:val="008B41FA"/>
    <w:rsid w:val="008E0F71"/>
    <w:rsid w:val="008E48BE"/>
    <w:rsid w:val="008F0AB8"/>
    <w:rsid w:val="009169A6"/>
    <w:rsid w:val="00973F02"/>
    <w:rsid w:val="009E144C"/>
    <w:rsid w:val="009E6CEE"/>
    <w:rsid w:val="009F00E4"/>
    <w:rsid w:val="00A1274A"/>
    <w:rsid w:val="00A32C17"/>
    <w:rsid w:val="00A46994"/>
    <w:rsid w:val="00A52D9F"/>
    <w:rsid w:val="00A86DBE"/>
    <w:rsid w:val="00A91038"/>
    <w:rsid w:val="00A922B7"/>
    <w:rsid w:val="00AB4467"/>
    <w:rsid w:val="00AB53D8"/>
    <w:rsid w:val="00B17C99"/>
    <w:rsid w:val="00B205D5"/>
    <w:rsid w:val="00B26C6F"/>
    <w:rsid w:val="00B41617"/>
    <w:rsid w:val="00B4763B"/>
    <w:rsid w:val="00B70CB4"/>
    <w:rsid w:val="00B7115B"/>
    <w:rsid w:val="00BA1B25"/>
    <w:rsid w:val="00BE5190"/>
    <w:rsid w:val="00C464A7"/>
    <w:rsid w:val="00C57047"/>
    <w:rsid w:val="00CA211E"/>
    <w:rsid w:val="00CD04A7"/>
    <w:rsid w:val="00CD51C1"/>
    <w:rsid w:val="00CF02D9"/>
    <w:rsid w:val="00CF23D8"/>
    <w:rsid w:val="00D008E3"/>
    <w:rsid w:val="00D03C32"/>
    <w:rsid w:val="00D26859"/>
    <w:rsid w:val="00D320B9"/>
    <w:rsid w:val="00DB1E7F"/>
    <w:rsid w:val="00DD6C10"/>
    <w:rsid w:val="00DE1B5F"/>
    <w:rsid w:val="00DE33C0"/>
    <w:rsid w:val="00DF18CD"/>
    <w:rsid w:val="00DF4669"/>
    <w:rsid w:val="00DF7CC0"/>
    <w:rsid w:val="00E0543A"/>
    <w:rsid w:val="00E0662C"/>
    <w:rsid w:val="00E13759"/>
    <w:rsid w:val="00E16BF9"/>
    <w:rsid w:val="00E32BC2"/>
    <w:rsid w:val="00E36E0B"/>
    <w:rsid w:val="00E55438"/>
    <w:rsid w:val="00E724D8"/>
    <w:rsid w:val="00EA7C2E"/>
    <w:rsid w:val="00EC046D"/>
    <w:rsid w:val="00ED6348"/>
    <w:rsid w:val="00F02A53"/>
    <w:rsid w:val="00F32BB5"/>
    <w:rsid w:val="00F54F95"/>
    <w:rsid w:val="00F60C4B"/>
    <w:rsid w:val="00F67FA6"/>
    <w:rsid w:val="00F77493"/>
    <w:rsid w:val="00F90813"/>
    <w:rsid w:val="00FB66BC"/>
    <w:rsid w:val="00FC35F4"/>
    <w:rsid w:val="00FC5B1A"/>
    <w:rsid w:val="00FD4A60"/>
    <w:rsid w:val="00FE7B8E"/>
    <w:rsid w:val="00FF1B2B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2">
      <o:colormru v:ext="edit" colors="#4c9fff,#e6f1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Medium Grid 2" w:qFormat="1"/>
    <w:lsdException w:name="List Paragraph" w:qFormat="1"/>
    <w:lsdException w:name="Quote" w:qFormat="1"/>
    <w:lsdException w:name="Intense Quote" w:qFormat="1"/>
    <w:lsdException w:name="Colorful List Accent 1" w:qFormat="1"/>
    <w:lsdException w:name="Colorful Grid Accent 1" w:qFormat="1"/>
    <w:lsdException w:name="Light Shading Accent 2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character" w:customStyle="1" w:styleId="Ttulo1Car">
    <w:name w:val="Título 1 Ca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Medium Grid 2" w:qFormat="1"/>
    <w:lsdException w:name="List Paragraph" w:qFormat="1"/>
    <w:lsdException w:name="Quote" w:qFormat="1"/>
    <w:lsdException w:name="Intense Quote" w:qFormat="1"/>
    <w:lsdException w:name="Colorful List Accent 1" w:qFormat="1"/>
    <w:lsdException w:name="Colorful Grid Accent 1" w:qFormat="1"/>
    <w:lsdException w:name="Light Shading Accent 2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F6C65-CA4B-46B9-B440-2A8ED6671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704</Words>
  <Characters>4013</Characters>
  <Application>Microsoft Word 12.0.0</Application>
  <DocSecurity>0</DocSecurity>
  <Lines>33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Fundación Jubileo</Company>
  <LinksUpToDate>false</LinksUpToDate>
  <CharactersWithSpaces>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Jubileo MAC</cp:lastModifiedBy>
  <cp:revision>2</cp:revision>
  <cp:lastPrinted>2015-09-16T19:34:00Z</cp:lastPrinted>
  <dcterms:created xsi:type="dcterms:W3CDTF">2015-09-16T20:33:00Z</dcterms:created>
  <dcterms:modified xsi:type="dcterms:W3CDTF">2015-09-16T20:33:00Z</dcterms:modified>
</cp:coreProperties>
</file>