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B3C1A4" w14:textId="77777777" w:rsidR="008740C0" w:rsidRDefault="00ED6348" w:rsidP="00B63F99">
      <w:pPr>
        <w:jc w:val="center"/>
        <w:rPr>
          <w:rFonts w:ascii="Century Gothic" w:hAnsi="Century Gothic"/>
          <w:b/>
          <w:color w:val="1F497D"/>
          <w:sz w:val="28"/>
        </w:rPr>
      </w:pPr>
      <w:bookmarkStart w:id="0" w:name="_GoBack"/>
      <w:bookmarkEnd w:id="0"/>
      <w:r>
        <w:rPr>
          <w:rFonts w:ascii="Century Gothic" w:hAnsi="Century Gothic"/>
          <w:noProof/>
          <w:sz w:val="12"/>
          <w:lang w:val="es-ES_tradnl" w:eastAsia="es-ES_tradnl"/>
        </w:rPr>
        <w:drawing>
          <wp:anchor distT="0" distB="0" distL="114300" distR="114300" simplePos="0" relativeHeight="251657216" behindDoc="0" locked="0" layoutInCell="1" allowOverlap="1" wp14:anchorId="1E35C38C" wp14:editId="1501BB53">
            <wp:simplePos x="0" y="0"/>
            <wp:positionH relativeFrom="column">
              <wp:posOffset>2305795</wp:posOffset>
            </wp:positionH>
            <wp:positionV relativeFrom="paragraph">
              <wp:posOffset>-111926</wp:posOffset>
            </wp:positionV>
            <wp:extent cx="944163" cy="450574"/>
            <wp:effectExtent l="0" t="0" r="8890" b="6985"/>
            <wp:wrapNone/>
            <wp:docPr id="5" name="Imagen 4" descr="Logo JUBILEO 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 descr="Logo JUBILEO 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595" cy="453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4CB606" w14:textId="18BBAF33" w:rsidR="00CD04A7" w:rsidRPr="001B2B43" w:rsidRDefault="00561BA2" w:rsidP="00CD04A7">
      <w:pPr>
        <w:pStyle w:val="Sinespaciado1"/>
        <w:jc w:val="center"/>
        <w:rPr>
          <w:rFonts w:ascii="Century Gothic" w:hAnsi="Century Gothic"/>
          <w:b/>
          <w:sz w:val="25"/>
          <w:szCs w:val="25"/>
        </w:rPr>
      </w:pPr>
      <w:r w:rsidRPr="001B2B43">
        <w:rPr>
          <w:rFonts w:ascii="Century Gothic" w:hAnsi="Century Gothic"/>
          <w:b/>
          <w:sz w:val="25"/>
          <w:szCs w:val="25"/>
        </w:rPr>
        <w:t xml:space="preserve">EL IPC REGISTRA EN </w:t>
      </w:r>
      <w:r w:rsidR="00A85F69">
        <w:rPr>
          <w:rFonts w:ascii="Century Gothic" w:hAnsi="Century Gothic"/>
          <w:b/>
          <w:sz w:val="25"/>
          <w:szCs w:val="25"/>
        </w:rPr>
        <w:t xml:space="preserve">SEPTIEMBRE </w:t>
      </w:r>
      <w:r w:rsidR="00F1594C">
        <w:rPr>
          <w:rFonts w:ascii="Century Gothic" w:hAnsi="Century Gothic"/>
          <w:b/>
          <w:sz w:val="25"/>
          <w:szCs w:val="25"/>
        </w:rPr>
        <w:t xml:space="preserve">INCREMENTO </w:t>
      </w:r>
      <w:r w:rsidR="00EE1DA0">
        <w:rPr>
          <w:rFonts w:ascii="Century Gothic" w:hAnsi="Century Gothic"/>
          <w:b/>
          <w:sz w:val="25"/>
          <w:szCs w:val="25"/>
        </w:rPr>
        <w:br/>
      </w:r>
      <w:r w:rsidRPr="001B2B43">
        <w:rPr>
          <w:rFonts w:ascii="Century Gothic" w:hAnsi="Century Gothic"/>
          <w:b/>
          <w:sz w:val="25"/>
          <w:szCs w:val="25"/>
        </w:rPr>
        <w:t xml:space="preserve">DE PRECIOS DE ALIMENTOS </w:t>
      </w:r>
      <w:r w:rsidR="00F1594C">
        <w:rPr>
          <w:rFonts w:ascii="Century Gothic" w:hAnsi="Century Gothic"/>
          <w:b/>
          <w:sz w:val="25"/>
          <w:szCs w:val="25"/>
        </w:rPr>
        <w:t>EN 2,34%</w:t>
      </w:r>
    </w:p>
    <w:p w14:paraId="7FEFBD6C" w14:textId="26CD2129" w:rsidR="008740C0" w:rsidRPr="008B39AC" w:rsidRDefault="00EE1DA0" w:rsidP="008740C0">
      <w:pPr>
        <w:pStyle w:val="Sinespaciado1"/>
        <w:jc w:val="center"/>
        <w:rPr>
          <w:rFonts w:ascii="Century Gothic" w:hAnsi="Century Gothic"/>
          <w:b/>
          <w:sz w:val="24"/>
          <w:szCs w:val="28"/>
        </w:rPr>
      </w:pPr>
      <w:r>
        <w:rPr>
          <w:rFonts w:ascii="Century Gothic" w:hAnsi="Century Gothic" w:cs="MyriadPro-Regular"/>
          <w:i/>
          <w:noProof/>
          <w:szCs w:val="24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1B7A9F48" wp14:editId="1CDCE720">
                <wp:simplePos x="0" y="0"/>
                <wp:positionH relativeFrom="column">
                  <wp:posOffset>-67412</wp:posOffset>
                </wp:positionH>
                <wp:positionV relativeFrom="paragraph">
                  <wp:posOffset>180955</wp:posOffset>
                </wp:positionV>
                <wp:extent cx="5848350" cy="1240175"/>
                <wp:effectExtent l="0" t="0" r="19050" b="55245"/>
                <wp:wrapNone/>
                <wp:docPr id="1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6F1FF">
                            <a:alpha val="99001"/>
                          </a:srgbClr>
                        </a:solidFill>
                        <a:ln w="19050">
                          <a:solidFill>
                            <a:srgbClr val="4A7EBB"/>
                          </a:solidFill>
                          <a:round/>
                          <a:headEnd/>
                          <a:tailEnd/>
                        </a:ln>
                        <a:effectLst>
                          <a:outerShdw dist="25400" dir="5400000" algn="ctr" rotWithShape="0">
                            <a:srgbClr val="808080">
                              <a:alpha val="35001"/>
                            </a:srgbClr>
                          </a:outerShdw>
                        </a:effectLst>
                      </wps:spPr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D543079" id="AutoShape 7" o:spid="_x0000_s1026" style="position:absolute;margin-left:-5.3pt;margin-top:14.25pt;width:460.5pt;height:97.6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" fillcolor="#e6f1ff" strokecolor="#4a7ebb" strokeweight="1.5pt">
                <v:fill opacity="64764f"/>
                <v:shadow on="t" color="gray" opacity="22938f" mv:blur="0" offset="0,2pt"/>
                <v:textbox inset=",7.2pt,,7.2pt"/>
              </v:roundrect>
            </w:pict>
          </mc:Fallback>
        </mc:AlternateContent>
      </w:r>
    </w:p>
    <w:p w14:paraId="2B42CFBF" w14:textId="1DDC4844" w:rsidR="004F60E8" w:rsidRPr="00EF3604" w:rsidRDefault="00EF3604" w:rsidP="003405CD">
      <w:pPr>
        <w:pStyle w:val="Sinespaciado1"/>
        <w:numPr>
          <w:ilvl w:val="0"/>
          <w:numId w:val="1"/>
        </w:numPr>
        <w:spacing w:before="120" w:after="120"/>
        <w:jc w:val="both"/>
        <w:rPr>
          <w:rFonts w:ascii="Century Gothic" w:hAnsi="Century Gothic" w:cs="MyriadPro-Regular"/>
          <w:i/>
          <w:szCs w:val="24"/>
        </w:rPr>
      </w:pPr>
      <w:r w:rsidRPr="00EF3604">
        <w:rPr>
          <w:rFonts w:ascii="Century Gothic" w:hAnsi="Century Gothic" w:cs="MyriadPro-Regular"/>
          <w:i/>
          <w:szCs w:val="24"/>
        </w:rPr>
        <w:t>Por cuarto mes consecutivo</w:t>
      </w:r>
      <w:r>
        <w:rPr>
          <w:rFonts w:ascii="Century Gothic" w:hAnsi="Century Gothic" w:cs="MyriadPro-Regular"/>
          <w:i/>
          <w:szCs w:val="24"/>
        </w:rPr>
        <w:t>,</w:t>
      </w:r>
      <w:r w:rsidRPr="00EF3604">
        <w:rPr>
          <w:rFonts w:ascii="Century Gothic" w:hAnsi="Century Gothic" w:cs="MyriadPro-Regular"/>
          <w:i/>
          <w:szCs w:val="24"/>
        </w:rPr>
        <w:t xml:space="preserve"> </w:t>
      </w:r>
      <w:r>
        <w:rPr>
          <w:rFonts w:ascii="Century Gothic" w:hAnsi="Century Gothic" w:cs="MyriadPro-Regular"/>
          <w:i/>
          <w:szCs w:val="24"/>
        </w:rPr>
        <w:t xml:space="preserve">los precios </w:t>
      </w:r>
      <w:r w:rsidRPr="00EF3604">
        <w:rPr>
          <w:rFonts w:ascii="Century Gothic" w:hAnsi="Century Gothic" w:cs="MyriadPro-Regular"/>
          <w:i/>
          <w:szCs w:val="24"/>
        </w:rPr>
        <w:t>de los alimentos se incrementa</w:t>
      </w:r>
      <w:r w:rsidR="00EE1DA0">
        <w:rPr>
          <w:rFonts w:ascii="Century Gothic" w:hAnsi="Century Gothic" w:cs="MyriadPro-Regular"/>
          <w:i/>
          <w:szCs w:val="24"/>
        </w:rPr>
        <w:t>n</w:t>
      </w:r>
      <w:r>
        <w:rPr>
          <w:rFonts w:ascii="Century Gothic" w:hAnsi="Century Gothic" w:cs="MyriadPro-Regular"/>
          <w:i/>
          <w:szCs w:val="24"/>
        </w:rPr>
        <w:t>.</w:t>
      </w:r>
    </w:p>
    <w:p w14:paraId="49943AEB" w14:textId="02A5FBD3" w:rsidR="00EF3604" w:rsidRPr="00EF3604" w:rsidRDefault="00EF3604" w:rsidP="00C65445">
      <w:pPr>
        <w:pStyle w:val="Sinespaciado1"/>
        <w:numPr>
          <w:ilvl w:val="0"/>
          <w:numId w:val="1"/>
        </w:numPr>
        <w:spacing w:before="120" w:after="120"/>
        <w:jc w:val="both"/>
        <w:rPr>
          <w:rFonts w:ascii="Century Gothic" w:hAnsi="Century Gothic" w:cs="MyriadPro-Regular"/>
          <w:i/>
          <w:szCs w:val="24"/>
        </w:rPr>
      </w:pPr>
      <w:r w:rsidRPr="00EF3604">
        <w:rPr>
          <w:rFonts w:ascii="Century Gothic" w:hAnsi="Century Gothic" w:cs="MyriadPro-Regular"/>
          <w:i/>
          <w:szCs w:val="24"/>
        </w:rPr>
        <w:t>Hasta septiembre</w:t>
      </w:r>
      <w:r w:rsidR="00EE1DA0">
        <w:rPr>
          <w:rFonts w:ascii="Century Gothic" w:hAnsi="Century Gothic" w:cs="MyriadPro-Regular"/>
          <w:i/>
          <w:szCs w:val="24"/>
        </w:rPr>
        <w:t>,</w:t>
      </w:r>
      <w:r w:rsidRPr="00EF3604">
        <w:rPr>
          <w:rFonts w:ascii="Century Gothic" w:hAnsi="Century Gothic" w:cs="MyriadPro-Regular"/>
          <w:i/>
          <w:szCs w:val="24"/>
        </w:rPr>
        <w:t xml:space="preserve"> la variación acumulada del precio de los alimentos es de 4,3%</w:t>
      </w:r>
      <w:r>
        <w:rPr>
          <w:rFonts w:ascii="Century Gothic" w:hAnsi="Century Gothic" w:cs="MyriadPro-Regular"/>
          <w:i/>
          <w:szCs w:val="24"/>
        </w:rPr>
        <w:t>.</w:t>
      </w:r>
    </w:p>
    <w:p w14:paraId="758F5BC2" w14:textId="5437400A" w:rsidR="00EF3604" w:rsidRPr="00EE1DA0" w:rsidRDefault="00EF3604" w:rsidP="00EE1DA0">
      <w:pPr>
        <w:pStyle w:val="Sinespaciado1"/>
        <w:numPr>
          <w:ilvl w:val="0"/>
          <w:numId w:val="1"/>
        </w:numPr>
        <w:spacing w:before="120" w:after="120"/>
        <w:jc w:val="both"/>
        <w:rPr>
          <w:rFonts w:ascii="Century Gothic" w:hAnsi="Century Gothic" w:cs="MyriadPro-Regular"/>
        </w:rPr>
      </w:pPr>
      <w:r w:rsidRPr="00EF3604">
        <w:rPr>
          <w:rFonts w:ascii="Century Gothic" w:hAnsi="Century Gothic" w:cs="MyriadPro-Regular"/>
          <w:i/>
          <w:szCs w:val="24"/>
        </w:rPr>
        <w:t xml:space="preserve">Las legumbres, hortalizas y tubérculos </w:t>
      </w:r>
      <w:r>
        <w:rPr>
          <w:rFonts w:ascii="Century Gothic" w:hAnsi="Century Gothic" w:cs="MyriadPro-Regular"/>
          <w:i/>
          <w:szCs w:val="24"/>
        </w:rPr>
        <w:t xml:space="preserve">se </w:t>
      </w:r>
      <w:r w:rsidRPr="00EF3604">
        <w:rPr>
          <w:rFonts w:ascii="Century Gothic" w:hAnsi="Century Gothic" w:cs="MyriadPro-Regular"/>
          <w:i/>
          <w:szCs w:val="24"/>
        </w:rPr>
        <w:t>habrían incrementado en 16,3%</w:t>
      </w:r>
      <w:r w:rsidR="00EE1DA0">
        <w:rPr>
          <w:rFonts w:ascii="Century Gothic" w:hAnsi="Century Gothic" w:cs="MyriadPro-Regular"/>
          <w:i/>
          <w:szCs w:val="24"/>
        </w:rPr>
        <w:t>, durante el último mes</w:t>
      </w:r>
      <w:r w:rsidRPr="00EE1DA0">
        <w:rPr>
          <w:rFonts w:ascii="Century Gothic" w:hAnsi="Century Gothic" w:cs="MyriadPro-Regular"/>
          <w:i/>
          <w:szCs w:val="24"/>
        </w:rPr>
        <w:t>.</w:t>
      </w:r>
    </w:p>
    <w:p w14:paraId="66A0A9F4" w14:textId="77777777" w:rsidR="00EE1DA0" w:rsidRDefault="00EE1DA0" w:rsidP="00EF3604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</w:p>
    <w:p w14:paraId="32A78BF9" w14:textId="1BE67732" w:rsidR="00F1594C" w:rsidRDefault="00F1594C" w:rsidP="00EF3604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>Por cuarto mes consecutivo</w:t>
      </w:r>
      <w:r w:rsidR="00EE1DA0">
        <w:rPr>
          <w:rFonts w:ascii="Century Gothic" w:hAnsi="Century Gothic" w:cs="MyriadPro-Regular"/>
        </w:rPr>
        <w:t>,</w:t>
      </w:r>
      <w:r>
        <w:rPr>
          <w:rFonts w:ascii="Century Gothic" w:hAnsi="Century Gothic" w:cs="MyriadPro-Regular"/>
        </w:rPr>
        <w:t xml:space="preserve"> en lo que va del año</w:t>
      </w:r>
      <w:r w:rsidR="008740C0">
        <w:rPr>
          <w:rFonts w:ascii="Century Gothic" w:hAnsi="Century Gothic" w:cs="MyriadPro-Regular"/>
        </w:rPr>
        <w:t xml:space="preserve">, los precios de los alimentos </w:t>
      </w:r>
      <w:r w:rsidR="001444B8">
        <w:rPr>
          <w:rFonts w:ascii="Century Gothic" w:hAnsi="Century Gothic" w:cs="MyriadPro-Regular"/>
        </w:rPr>
        <w:t xml:space="preserve">y bebidas consumidos en el hogar </w:t>
      </w:r>
      <w:r w:rsidR="00CD04A7">
        <w:rPr>
          <w:rFonts w:ascii="Century Gothic" w:hAnsi="Century Gothic" w:cs="MyriadPro-Regular"/>
        </w:rPr>
        <w:t>s</w:t>
      </w:r>
      <w:r>
        <w:rPr>
          <w:rFonts w:ascii="Century Gothic" w:hAnsi="Century Gothic" w:cs="MyriadPro-Regular"/>
        </w:rPr>
        <w:t>ubieron</w:t>
      </w:r>
      <w:r w:rsidR="00EE1DA0">
        <w:rPr>
          <w:rFonts w:ascii="Century Gothic" w:hAnsi="Century Gothic" w:cs="MyriadPro-Regular"/>
        </w:rPr>
        <w:t>. E</w:t>
      </w:r>
      <w:r>
        <w:rPr>
          <w:rFonts w:ascii="Century Gothic" w:hAnsi="Century Gothic" w:cs="MyriadPro-Regular"/>
        </w:rPr>
        <w:t>n septiembre</w:t>
      </w:r>
      <w:r w:rsidR="00EE1DA0">
        <w:rPr>
          <w:rFonts w:ascii="Century Gothic" w:hAnsi="Century Gothic" w:cs="MyriadPro-Regular"/>
        </w:rPr>
        <w:t>,</w:t>
      </w:r>
      <w:r>
        <w:rPr>
          <w:rFonts w:ascii="Century Gothic" w:hAnsi="Century Gothic" w:cs="MyriadPro-Regular"/>
        </w:rPr>
        <w:t xml:space="preserve"> el incremento fue de 2,34% </w:t>
      </w:r>
      <w:r w:rsidR="00EE1DA0">
        <w:rPr>
          <w:rFonts w:ascii="Century Gothic" w:hAnsi="Century Gothic" w:cs="MyriadPro-Regular"/>
        </w:rPr>
        <w:t>en comparación con e</w:t>
      </w:r>
      <w:r w:rsidR="008740C0">
        <w:rPr>
          <w:rFonts w:ascii="Century Gothic" w:hAnsi="Century Gothic" w:cs="MyriadPro-Regular"/>
        </w:rPr>
        <w:t xml:space="preserve">l mes anterior. </w:t>
      </w:r>
    </w:p>
    <w:p w14:paraId="5EF1D1C3" w14:textId="23DA66C1" w:rsidR="00F1594C" w:rsidRDefault="00EF3604" w:rsidP="008740C0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>Respecto del</w:t>
      </w:r>
      <w:r w:rsidR="002E0E3A">
        <w:rPr>
          <w:rFonts w:ascii="Century Gothic" w:hAnsi="Century Gothic" w:cs="MyriadPro-Regular"/>
        </w:rPr>
        <w:t xml:space="preserve"> precio promedio del conjunto de bienes y servicios</w:t>
      </w:r>
      <w:r>
        <w:rPr>
          <w:rFonts w:ascii="Century Gothic" w:hAnsi="Century Gothic" w:cs="MyriadPro-Regular"/>
        </w:rPr>
        <w:t>,</w:t>
      </w:r>
      <w:r w:rsidR="002E0E3A">
        <w:rPr>
          <w:rFonts w:ascii="Century Gothic" w:hAnsi="Century Gothic" w:cs="MyriadPro-Regular"/>
        </w:rPr>
        <w:t xml:space="preserve"> en septiembre</w:t>
      </w:r>
      <w:r w:rsidR="00EE1DA0">
        <w:rPr>
          <w:rFonts w:ascii="Century Gothic" w:hAnsi="Century Gothic" w:cs="MyriadPro-Regular"/>
        </w:rPr>
        <w:t>,</w:t>
      </w:r>
      <w:r w:rsidR="002E0E3A">
        <w:rPr>
          <w:rFonts w:ascii="Century Gothic" w:hAnsi="Century Gothic" w:cs="MyriadPro-Regular"/>
        </w:rPr>
        <w:t xml:space="preserve"> </w:t>
      </w:r>
      <w:r w:rsidR="00EE1DA0">
        <w:rPr>
          <w:rFonts w:ascii="Century Gothic" w:hAnsi="Century Gothic" w:cs="MyriadPro-Regular"/>
        </w:rPr>
        <w:t>é</w:t>
      </w:r>
      <w:r>
        <w:rPr>
          <w:rFonts w:ascii="Century Gothic" w:hAnsi="Century Gothic" w:cs="MyriadPro-Regular"/>
        </w:rPr>
        <w:t xml:space="preserve">stos </w:t>
      </w:r>
      <w:r w:rsidR="002E0E3A">
        <w:rPr>
          <w:rFonts w:ascii="Century Gothic" w:hAnsi="Century Gothic" w:cs="MyriadPro-Regular"/>
        </w:rPr>
        <w:t xml:space="preserve">se incrementaron a una tasa </w:t>
      </w:r>
      <w:r w:rsidR="00F263B4">
        <w:rPr>
          <w:rFonts w:ascii="Century Gothic" w:hAnsi="Century Gothic" w:cs="MyriadPro-Regular"/>
        </w:rPr>
        <w:t xml:space="preserve">promedio </w:t>
      </w:r>
      <w:r w:rsidR="002E0E3A">
        <w:rPr>
          <w:rFonts w:ascii="Century Gothic" w:hAnsi="Century Gothic" w:cs="MyriadPro-Regular"/>
        </w:rPr>
        <w:t>menor</w:t>
      </w:r>
      <w:r w:rsidR="00EE1DA0">
        <w:rPr>
          <w:rFonts w:ascii="Century Gothic" w:hAnsi="Century Gothic" w:cs="MyriadPro-Regular"/>
        </w:rPr>
        <w:t>,</w:t>
      </w:r>
      <w:r w:rsidR="002E0E3A">
        <w:rPr>
          <w:rFonts w:ascii="Century Gothic" w:hAnsi="Century Gothic" w:cs="MyriadPro-Regular"/>
        </w:rPr>
        <w:t xml:space="preserve"> 0,80%</w:t>
      </w:r>
      <w:r w:rsidR="00EE1DA0">
        <w:rPr>
          <w:rFonts w:ascii="Century Gothic" w:hAnsi="Century Gothic" w:cs="MyriadPro-Regular"/>
        </w:rPr>
        <w:t>,</w:t>
      </w:r>
      <w:r w:rsidR="002E0E3A">
        <w:rPr>
          <w:rFonts w:ascii="Century Gothic" w:hAnsi="Century Gothic" w:cs="MyriadPro-Regular"/>
        </w:rPr>
        <w:t xml:space="preserve"> respecto del precio de los alimentos.</w:t>
      </w:r>
      <w:r w:rsidR="003C1AB9">
        <w:rPr>
          <w:rFonts w:ascii="Century Gothic" w:hAnsi="Century Gothic" w:cs="MyriadPro-Regular"/>
        </w:rPr>
        <w:t xml:space="preserve"> Similar situación ocurrió en el mes de agosto.</w:t>
      </w:r>
    </w:p>
    <w:p w14:paraId="04D24078" w14:textId="455DDA52" w:rsidR="00427C1B" w:rsidRDefault="00427C1B" w:rsidP="00427C1B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 xml:space="preserve">Según el último reporte del INE, en septiembre, los alimentos más importantes que tuvieron incremento en sus precios fueron: </w:t>
      </w:r>
      <w:r w:rsidRPr="00427C1B">
        <w:rPr>
          <w:rFonts w:ascii="Century Gothic" w:hAnsi="Century Gothic" w:cs="MyriadPro-Regular"/>
        </w:rPr>
        <w:t>Tomate 24,1</w:t>
      </w:r>
      <w:r>
        <w:rPr>
          <w:rFonts w:ascii="Century Gothic" w:hAnsi="Century Gothic" w:cs="MyriadPro-Regular"/>
        </w:rPr>
        <w:t>%, l</w:t>
      </w:r>
      <w:r w:rsidRPr="00427C1B">
        <w:rPr>
          <w:rFonts w:ascii="Century Gothic" w:hAnsi="Century Gothic" w:cs="MyriadPro-Regular"/>
        </w:rPr>
        <w:t>imón 24,6</w:t>
      </w:r>
      <w:r>
        <w:rPr>
          <w:rFonts w:ascii="Century Gothic" w:hAnsi="Century Gothic" w:cs="MyriadPro-Regular"/>
        </w:rPr>
        <w:t>%, y</w:t>
      </w:r>
      <w:r w:rsidRPr="00427C1B">
        <w:rPr>
          <w:rFonts w:ascii="Century Gothic" w:hAnsi="Century Gothic" w:cs="MyriadPro-Regular"/>
        </w:rPr>
        <w:t>uca 8,</w:t>
      </w:r>
      <w:r>
        <w:rPr>
          <w:rFonts w:ascii="Century Gothic" w:hAnsi="Century Gothic" w:cs="MyriadPro-Regular"/>
        </w:rPr>
        <w:t>1%, l</w:t>
      </w:r>
      <w:r w:rsidRPr="00427C1B">
        <w:rPr>
          <w:rFonts w:ascii="Century Gothic" w:hAnsi="Century Gothic" w:cs="MyriadPro-Regular"/>
        </w:rPr>
        <w:t>ocoto 2,</w:t>
      </w:r>
      <w:r>
        <w:rPr>
          <w:rFonts w:ascii="Century Gothic" w:hAnsi="Century Gothic" w:cs="MyriadPro-Regular"/>
        </w:rPr>
        <w:t xml:space="preserve">9%, </w:t>
      </w:r>
      <w:r w:rsidR="00EE1DA0">
        <w:rPr>
          <w:rFonts w:ascii="Century Gothic" w:hAnsi="Century Gothic" w:cs="MyriadPro-Regular"/>
        </w:rPr>
        <w:t>z</w:t>
      </w:r>
      <w:r>
        <w:rPr>
          <w:rFonts w:ascii="Century Gothic" w:hAnsi="Century Gothic" w:cs="MyriadPro-Regular"/>
        </w:rPr>
        <w:t>anahoria 1,8% y p</w:t>
      </w:r>
      <w:r w:rsidRPr="00427C1B">
        <w:rPr>
          <w:rFonts w:ascii="Century Gothic" w:hAnsi="Century Gothic" w:cs="MyriadPro-Regular"/>
        </w:rPr>
        <w:t>apa 1,2</w:t>
      </w:r>
      <w:r>
        <w:rPr>
          <w:rFonts w:ascii="Century Gothic" w:hAnsi="Century Gothic" w:cs="MyriadPro-Regular"/>
        </w:rPr>
        <w:t>%.</w:t>
      </w:r>
    </w:p>
    <w:p w14:paraId="63B1F237" w14:textId="3F03DC60" w:rsidR="00EF3604" w:rsidRDefault="00EE1DA0" w:rsidP="00EF3604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>En cambio,</w:t>
      </w:r>
      <w:r w:rsidR="00EF3604">
        <w:rPr>
          <w:rFonts w:ascii="Century Gothic" w:hAnsi="Century Gothic" w:cs="MyriadPro-Regular"/>
        </w:rPr>
        <w:t xml:space="preserve"> bajaron de precio alimentos como: a</w:t>
      </w:r>
      <w:r w:rsidR="00EF3604" w:rsidRPr="00EF3604">
        <w:rPr>
          <w:rFonts w:ascii="Century Gothic" w:hAnsi="Century Gothic" w:cs="MyriadPro-Regular"/>
        </w:rPr>
        <w:t xml:space="preserve">rveja </w:t>
      </w:r>
      <w:r w:rsidR="00EF3604">
        <w:rPr>
          <w:rFonts w:ascii="Century Gothic" w:hAnsi="Century Gothic" w:cs="MyriadPro-Regular"/>
        </w:rPr>
        <w:t>-</w:t>
      </w:r>
      <w:r w:rsidR="00EF3604" w:rsidRPr="00EF3604">
        <w:rPr>
          <w:rFonts w:ascii="Century Gothic" w:hAnsi="Century Gothic" w:cs="MyriadPro-Regular"/>
        </w:rPr>
        <w:t>7,</w:t>
      </w:r>
      <w:r w:rsidR="00EF3604">
        <w:rPr>
          <w:rFonts w:ascii="Century Gothic" w:hAnsi="Century Gothic" w:cs="MyriadPro-Regular"/>
        </w:rPr>
        <w:t>8%</w:t>
      </w:r>
      <w:r>
        <w:rPr>
          <w:rFonts w:ascii="Century Gothic" w:hAnsi="Century Gothic" w:cs="MyriadPro-Regular"/>
        </w:rPr>
        <w:t>,</w:t>
      </w:r>
      <w:r w:rsidR="00EF3604" w:rsidRPr="00EF3604">
        <w:rPr>
          <w:rFonts w:ascii="Century Gothic" w:hAnsi="Century Gothic" w:cs="MyriadPro-Regular"/>
        </w:rPr>
        <w:t xml:space="preserve"> </w:t>
      </w:r>
      <w:r w:rsidR="00EF3604">
        <w:rPr>
          <w:rFonts w:ascii="Century Gothic" w:hAnsi="Century Gothic" w:cs="MyriadPro-Regular"/>
        </w:rPr>
        <w:t>c</w:t>
      </w:r>
      <w:r w:rsidR="00EF3604" w:rsidRPr="00EF3604">
        <w:rPr>
          <w:rFonts w:ascii="Century Gothic" w:hAnsi="Century Gothic" w:cs="MyriadPro-Regular"/>
        </w:rPr>
        <w:t xml:space="preserve">ebolla </w:t>
      </w:r>
      <w:r w:rsidR="00EF3604">
        <w:rPr>
          <w:rFonts w:ascii="Century Gothic" w:hAnsi="Century Gothic" w:cs="MyriadPro-Regular"/>
        </w:rPr>
        <w:t>-</w:t>
      </w:r>
      <w:r w:rsidR="00EF3604" w:rsidRPr="00EF3604">
        <w:rPr>
          <w:rFonts w:ascii="Century Gothic" w:hAnsi="Century Gothic" w:cs="MyriadPro-Regular"/>
        </w:rPr>
        <w:t>2,7</w:t>
      </w:r>
      <w:r w:rsidR="00EF3604">
        <w:rPr>
          <w:rFonts w:ascii="Century Gothic" w:hAnsi="Century Gothic" w:cs="MyriadPro-Regular"/>
        </w:rPr>
        <w:t>%</w:t>
      </w:r>
      <w:r>
        <w:rPr>
          <w:rFonts w:ascii="Century Gothic" w:hAnsi="Century Gothic" w:cs="MyriadPro-Regular"/>
        </w:rPr>
        <w:t>,</w:t>
      </w:r>
      <w:r w:rsidR="00EF3604">
        <w:rPr>
          <w:rFonts w:ascii="Century Gothic" w:hAnsi="Century Gothic" w:cs="MyriadPro-Regular"/>
        </w:rPr>
        <w:t xml:space="preserve"> c</w:t>
      </w:r>
      <w:r w:rsidR="00EF3604" w:rsidRPr="00EF3604">
        <w:rPr>
          <w:rFonts w:ascii="Century Gothic" w:hAnsi="Century Gothic" w:cs="MyriadPro-Regular"/>
        </w:rPr>
        <w:t>arne de pollo</w:t>
      </w:r>
      <w:r w:rsidR="00EF3604">
        <w:rPr>
          <w:rFonts w:ascii="Century Gothic" w:hAnsi="Century Gothic" w:cs="MyriadPro-Regular"/>
        </w:rPr>
        <w:t xml:space="preserve"> -</w:t>
      </w:r>
      <w:r w:rsidR="00EF3604" w:rsidRPr="00EF3604">
        <w:rPr>
          <w:rFonts w:ascii="Century Gothic" w:hAnsi="Century Gothic" w:cs="MyriadPro-Regular"/>
        </w:rPr>
        <w:t>1,</w:t>
      </w:r>
      <w:r w:rsidR="00EF3604">
        <w:rPr>
          <w:rFonts w:ascii="Century Gothic" w:hAnsi="Century Gothic" w:cs="MyriadPro-Regular"/>
        </w:rPr>
        <w:t>9%.</w:t>
      </w:r>
    </w:p>
    <w:p w14:paraId="04ADF51B" w14:textId="3C2CC6C6" w:rsidR="00F1594C" w:rsidRDefault="00F1594C" w:rsidP="008740C0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 w:rsidRPr="00F1594C">
        <w:rPr>
          <w:noProof/>
          <w:lang w:val="es-ES_tradnl" w:eastAsia="es-ES_tradnl"/>
        </w:rPr>
        <w:drawing>
          <wp:inline distT="0" distB="0" distL="0" distR="0" wp14:anchorId="61115150" wp14:editId="0646DEF0">
            <wp:extent cx="5605668" cy="2604052"/>
            <wp:effectExtent l="0" t="0" r="0" b="635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670" cy="2604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645C2C" w14:textId="782B846F" w:rsidR="001624A8" w:rsidRDefault="000172DE" w:rsidP="008740C0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 xml:space="preserve">Con </w:t>
      </w:r>
      <w:r w:rsidR="003C1AB9">
        <w:rPr>
          <w:rFonts w:ascii="Century Gothic" w:hAnsi="Century Gothic" w:cs="MyriadPro-Regular"/>
        </w:rPr>
        <w:t xml:space="preserve">esta </w:t>
      </w:r>
      <w:r w:rsidRPr="000172DE">
        <w:rPr>
          <w:rFonts w:ascii="Century Gothic" w:hAnsi="Century Gothic" w:cs="MyriadPro-Regular"/>
        </w:rPr>
        <w:t xml:space="preserve">tasa de variación del precio de los alimentos </w:t>
      </w:r>
      <w:r w:rsidR="001444B8">
        <w:rPr>
          <w:rFonts w:ascii="Century Gothic" w:hAnsi="Century Gothic" w:cs="MyriadPro-Regular"/>
        </w:rPr>
        <w:t xml:space="preserve">consumidos en el hogar </w:t>
      </w:r>
      <w:r w:rsidR="003C1AB9" w:rsidRPr="000172DE">
        <w:rPr>
          <w:rFonts w:ascii="Century Gothic" w:hAnsi="Century Gothic" w:cs="MyriadPro-Regular"/>
        </w:rPr>
        <w:t>registrado</w:t>
      </w:r>
      <w:r w:rsidRPr="000172DE">
        <w:rPr>
          <w:rFonts w:ascii="Century Gothic" w:hAnsi="Century Gothic" w:cs="MyriadPro-Regular"/>
        </w:rPr>
        <w:t xml:space="preserve"> en </w:t>
      </w:r>
      <w:r w:rsidR="003C1AB9">
        <w:rPr>
          <w:rFonts w:ascii="Century Gothic" w:hAnsi="Century Gothic" w:cs="MyriadPro-Regular"/>
        </w:rPr>
        <w:t>septiembre</w:t>
      </w:r>
      <w:r w:rsidR="00AB1F07">
        <w:rPr>
          <w:rFonts w:ascii="Century Gothic" w:hAnsi="Century Gothic" w:cs="MyriadPro-Regular"/>
        </w:rPr>
        <w:t xml:space="preserve">, </w:t>
      </w:r>
      <w:r w:rsidRPr="000172DE">
        <w:rPr>
          <w:rFonts w:ascii="Century Gothic" w:hAnsi="Century Gothic" w:cs="MyriadPro-Regular"/>
        </w:rPr>
        <w:t xml:space="preserve">la variación acumulada del precio de alimentos y bebidas llegó a </w:t>
      </w:r>
      <w:r w:rsidR="003C1AB9">
        <w:rPr>
          <w:rFonts w:ascii="Century Gothic" w:hAnsi="Century Gothic" w:cs="MyriadPro-Regular"/>
        </w:rPr>
        <w:t>4</w:t>
      </w:r>
      <w:r w:rsidRPr="000172DE">
        <w:rPr>
          <w:rFonts w:ascii="Century Gothic" w:hAnsi="Century Gothic" w:cs="MyriadPro-Regular"/>
        </w:rPr>
        <w:t>,</w:t>
      </w:r>
      <w:r w:rsidR="003C1AB9">
        <w:rPr>
          <w:rFonts w:ascii="Century Gothic" w:hAnsi="Century Gothic" w:cs="MyriadPro-Regular"/>
        </w:rPr>
        <w:t>31</w:t>
      </w:r>
      <w:r w:rsidRPr="000172DE">
        <w:rPr>
          <w:rFonts w:ascii="Century Gothic" w:hAnsi="Century Gothic" w:cs="MyriadPro-Regular"/>
        </w:rPr>
        <w:t>%</w:t>
      </w:r>
      <w:r w:rsidR="00AB1F07">
        <w:rPr>
          <w:rFonts w:ascii="Century Gothic" w:hAnsi="Century Gothic" w:cs="MyriadPro-Regular"/>
        </w:rPr>
        <w:t xml:space="preserve"> durante el año</w:t>
      </w:r>
      <w:r w:rsidRPr="000172DE">
        <w:rPr>
          <w:rFonts w:ascii="Century Gothic" w:hAnsi="Century Gothic" w:cs="MyriadPro-Regular"/>
        </w:rPr>
        <w:t>, cifra m</w:t>
      </w:r>
      <w:r w:rsidR="003C1AB9">
        <w:rPr>
          <w:rFonts w:ascii="Century Gothic" w:hAnsi="Century Gothic" w:cs="MyriadPro-Regular"/>
        </w:rPr>
        <w:t xml:space="preserve">ayor </w:t>
      </w:r>
      <w:r w:rsidRPr="000172DE">
        <w:rPr>
          <w:rFonts w:ascii="Century Gothic" w:hAnsi="Century Gothic" w:cs="MyriadPro-Regular"/>
        </w:rPr>
        <w:t xml:space="preserve">al promedio acumulado general de bienes y servicios que fue de </w:t>
      </w:r>
      <w:r w:rsidR="003C1AB9">
        <w:rPr>
          <w:rFonts w:ascii="Century Gothic" w:hAnsi="Century Gothic" w:cs="MyriadPro-Regular"/>
        </w:rPr>
        <w:t>2</w:t>
      </w:r>
      <w:r w:rsidRPr="000172DE">
        <w:rPr>
          <w:rFonts w:ascii="Century Gothic" w:hAnsi="Century Gothic" w:cs="MyriadPro-Regular"/>
        </w:rPr>
        <w:t>,</w:t>
      </w:r>
      <w:r>
        <w:rPr>
          <w:rFonts w:ascii="Century Gothic" w:hAnsi="Century Gothic" w:cs="MyriadPro-Regular"/>
        </w:rPr>
        <w:t>5</w:t>
      </w:r>
      <w:r w:rsidR="003C1AB9">
        <w:rPr>
          <w:rFonts w:ascii="Century Gothic" w:hAnsi="Century Gothic" w:cs="MyriadPro-Regular"/>
        </w:rPr>
        <w:t>1</w:t>
      </w:r>
      <w:r w:rsidRPr="000172DE">
        <w:rPr>
          <w:rFonts w:ascii="Century Gothic" w:hAnsi="Century Gothic" w:cs="MyriadPro-Regular"/>
        </w:rPr>
        <w:t>%.</w:t>
      </w:r>
    </w:p>
    <w:p w14:paraId="38849148" w14:textId="1BF8FCA8" w:rsidR="003C1AB9" w:rsidRDefault="003C1AB9" w:rsidP="008740C0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lastRenderedPageBreak/>
        <w:t xml:space="preserve">Considerando que </w:t>
      </w:r>
      <w:proofErr w:type="gramStart"/>
      <w:r>
        <w:rPr>
          <w:rFonts w:ascii="Century Gothic" w:hAnsi="Century Gothic" w:cs="MyriadPro-Regular"/>
        </w:rPr>
        <w:t>la meta general promedio</w:t>
      </w:r>
      <w:proofErr w:type="gramEnd"/>
      <w:r>
        <w:rPr>
          <w:rFonts w:ascii="Century Gothic" w:hAnsi="Century Gothic" w:cs="MyriadPro-Regular"/>
        </w:rPr>
        <w:t xml:space="preserve"> de inflación fijada para la gestión</w:t>
      </w:r>
      <w:r w:rsidR="00EE1DA0">
        <w:rPr>
          <w:rFonts w:ascii="Century Gothic" w:hAnsi="Century Gothic" w:cs="MyriadPro-Regular"/>
        </w:rPr>
        <w:t xml:space="preserve"> 2017</w:t>
      </w:r>
      <w:r>
        <w:rPr>
          <w:rFonts w:ascii="Century Gothic" w:hAnsi="Century Gothic" w:cs="MyriadPro-Regular"/>
        </w:rPr>
        <w:t xml:space="preserve"> es de </w:t>
      </w:r>
      <w:r w:rsidR="00427C1B">
        <w:rPr>
          <w:rFonts w:ascii="Century Gothic" w:hAnsi="Century Gothic" w:cs="MyriadPro-Regular"/>
        </w:rPr>
        <w:t>5%, los precios de los alimentos están a 0,7 puntos porcentuales de superarla.</w:t>
      </w:r>
    </w:p>
    <w:p w14:paraId="199AEF3D" w14:textId="61782543" w:rsidR="001624A8" w:rsidRDefault="002E0E3A" w:rsidP="00AB1F07">
      <w:pPr>
        <w:pStyle w:val="Sinespaciado1"/>
        <w:spacing w:before="120" w:after="120"/>
        <w:jc w:val="center"/>
        <w:rPr>
          <w:rFonts w:ascii="Century Gothic" w:hAnsi="Century Gothic" w:cs="MyriadPro-Regular"/>
        </w:rPr>
      </w:pPr>
      <w:r w:rsidRPr="002E0E3A">
        <w:rPr>
          <w:noProof/>
          <w:lang w:val="es-ES_tradnl" w:eastAsia="es-ES_tradnl"/>
        </w:rPr>
        <w:drawing>
          <wp:inline distT="0" distB="0" distL="0" distR="0" wp14:anchorId="3681CDFF" wp14:editId="03036A91">
            <wp:extent cx="5612292" cy="2179982"/>
            <wp:effectExtent l="0" t="0" r="762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179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955081" w14:textId="77777777" w:rsidR="000C284C" w:rsidRPr="000C284C" w:rsidRDefault="000C284C" w:rsidP="000C284C">
      <w:pPr>
        <w:pStyle w:val="Sinespaciado1"/>
        <w:spacing w:before="120" w:after="120"/>
        <w:jc w:val="both"/>
        <w:rPr>
          <w:rFonts w:ascii="Century Gothic" w:hAnsi="Century Gothic" w:cs="MyriadPro-Regular"/>
          <w:i/>
          <w:szCs w:val="24"/>
        </w:rPr>
      </w:pPr>
      <w:r w:rsidRPr="000C284C">
        <w:rPr>
          <w:rFonts w:ascii="Century Gothic" w:hAnsi="Century Gothic" w:cs="MyriadPro-Regular"/>
          <w:i/>
          <w:szCs w:val="24"/>
        </w:rPr>
        <w:t>En la estructura de gasto de los hogares, éstos compran alimentos y bebidas para su consumo dentro y fuera del hogar. En el primer grupo está la compra de productos de legumbres, hortalizas, tubérculos, lácteos, carnes, frutas y otros. En el segundo grupo están aquellos que corresponden al servicio de suministro de comidas en restaurantes, pensiones, cafés y establecimientos similares.</w:t>
      </w:r>
    </w:p>
    <w:p w14:paraId="6164B743" w14:textId="7202885B" w:rsidR="000C284C" w:rsidRPr="000C284C" w:rsidRDefault="000C284C" w:rsidP="000C284C">
      <w:pPr>
        <w:pStyle w:val="Sinespaciado1"/>
        <w:spacing w:before="120" w:after="120"/>
        <w:jc w:val="both"/>
        <w:rPr>
          <w:rFonts w:ascii="Century Gothic" w:hAnsi="Century Gothic" w:cs="MyriadPro-Regular"/>
          <w:i/>
          <w:szCs w:val="24"/>
        </w:rPr>
      </w:pPr>
      <w:r w:rsidRPr="000C284C">
        <w:rPr>
          <w:rFonts w:ascii="Century Gothic" w:hAnsi="Century Gothic" w:cs="MyriadPro-Regular"/>
          <w:i/>
          <w:szCs w:val="24"/>
        </w:rPr>
        <w:t>Durante la gestión 201</w:t>
      </w:r>
      <w:r>
        <w:rPr>
          <w:rFonts w:ascii="Century Gothic" w:hAnsi="Century Gothic" w:cs="MyriadPro-Regular"/>
          <w:i/>
          <w:szCs w:val="24"/>
        </w:rPr>
        <w:t>7</w:t>
      </w:r>
      <w:r w:rsidRPr="000C284C">
        <w:rPr>
          <w:rFonts w:ascii="Century Gothic" w:hAnsi="Century Gothic" w:cs="MyriadPro-Regular"/>
          <w:i/>
          <w:szCs w:val="24"/>
        </w:rPr>
        <w:t xml:space="preserve">, </w:t>
      </w:r>
      <w:r>
        <w:rPr>
          <w:rFonts w:ascii="Century Gothic" w:hAnsi="Century Gothic" w:cs="MyriadPro-Regular"/>
          <w:i/>
          <w:szCs w:val="24"/>
        </w:rPr>
        <w:t xml:space="preserve">hasta </w:t>
      </w:r>
      <w:r w:rsidR="00427C1B">
        <w:rPr>
          <w:rFonts w:ascii="Century Gothic" w:hAnsi="Century Gothic" w:cs="MyriadPro-Regular"/>
          <w:i/>
          <w:szCs w:val="24"/>
        </w:rPr>
        <w:t>septiembre</w:t>
      </w:r>
      <w:r w:rsidR="00A30B4C">
        <w:rPr>
          <w:rFonts w:ascii="Century Gothic" w:hAnsi="Century Gothic" w:cs="MyriadPro-Regular"/>
          <w:i/>
          <w:szCs w:val="24"/>
        </w:rPr>
        <w:t>,</w:t>
      </w:r>
      <w:r>
        <w:rPr>
          <w:rFonts w:ascii="Century Gothic" w:hAnsi="Century Gothic" w:cs="MyriadPro-Regular"/>
          <w:i/>
          <w:szCs w:val="24"/>
        </w:rPr>
        <w:t xml:space="preserve"> </w:t>
      </w:r>
      <w:r w:rsidRPr="000C284C">
        <w:rPr>
          <w:rFonts w:ascii="Century Gothic" w:hAnsi="Century Gothic" w:cs="MyriadPro-Regular"/>
          <w:i/>
          <w:szCs w:val="24"/>
        </w:rPr>
        <w:t xml:space="preserve">el precio de los alimentos y bebidas consumidos en el hogar se </w:t>
      </w:r>
      <w:r w:rsidR="00427C1B">
        <w:rPr>
          <w:rFonts w:ascii="Century Gothic" w:hAnsi="Century Gothic" w:cs="MyriadPro-Regular"/>
          <w:i/>
          <w:szCs w:val="24"/>
        </w:rPr>
        <w:t xml:space="preserve">incrementó en </w:t>
      </w:r>
      <w:r w:rsidR="00C31AFB">
        <w:rPr>
          <w:rFonts w:ascii="Century Gothic" w:hAnsi="Century Gothic" w:cs="MyriadPro-Regular"/>
          <w:i/>
          <w:szCs w:val="24"/>
        </w:rPr>
        <w:t>4,31%</w:t>
      </w:r>
      <w:r w:rsidR="00EE1DA0">
        <w:rPr>
          <w:rFonts w:ascii="Century Gothic" w:hAnsi="Century Gothic" w:cs="MyriadPro-Regular"/>
          <w:i/>
          <w:szCs w:val="24"/>
        </w:rPr>
        <w:t>;</w:t>
      </w:r>
      <w:r w:rsidRPr="000C284C">
        <w:rPr>
          <w:rFonts w:ascii="Century Gothic" w:hAnsi="Century Gothic" w:cs="MyriadPro-Regular"/>
          <w:i/>
          <w:szCs w:val="24"/>
        </w:rPr>
        <w:t xml:space="preserve"> en tanto que el precio de los alimentos y bebidas consumidos fuera del hogar </w:t>
      </w:r>
      <w:r>
        <w:rPr>
          <w:rFonts w:ascii="Century Gothic" w:hAnsi="Century Gothic" w:cs="MyriadPro-Regular"/>
          <w:i/>
          <w:szCs w:val="24"/>
        </w:rPr>
        <w:t xml:space="preserve">se incrementó </w:t>
      </w:r>
      <w:r w:rsidRPr="000C284C">
        <w:rPr>
          <w:rFonts w:ascii="Century Gothic" w:hAnsi="Century Gothic" w:cs="MyriadPro-Regular"/>
          <w:i/>
          <w:szCs w:val="24"/>
        </w:rPr>
        <w:t xml:space="preserve">en </w:t>
      </w:r>
      <w:r w:rsidR="00C31AFB">
        <w:rPr>
          <w:rFonts w:ascii="Century Gothic" w:hAnsi="Century Gothic" w:cs="MyriadPro-Regular"/>
          <w:i/>
          <w:szCs w:val="24"/>
        </w:rPr>
        <w:t>1</w:t>
      </w:r>
      <w:r w:rsidRPr="000C284C">
        <w:rPr>
          <w:rFonts w:ascii="Century Gothic" w:hAnsi="Century Gothic" w:cs="MyriadPro-Regular"/>
          <w:i/>
          <w:szCs w:val="24"/>
        </w:rPr>
        <w:t>,</w:t>
      </w:r>
      <w:r w:rsidR="00C31AFB">
        <w:rPr>
          <w:rFonts w:ascii="Century Gothic" w:hAnsi="Century Gothic" w:cs="MyriadPro-Regular"/>
          <w:i/>
          <w:szCs w:val="24"/>
        </w:rPr>
        <w:t>19</w:t>
      </w:r>
      <w:r w:rsidRPr="000C284C">
        <w:rPr>
          <w:rFonts w:ascii="Century Gothic" w:hAnsi="Century Gothic" w:cs="MyriadPro-Regular"/>
          <w:i/>
          <w:szCs w:val="24"/>
        </w:rPr>
        <w:t>%.</w:t>
      </w:r>
    </w:p>
    <w:p w14:paraId="6FD77295" w14:textId="4D15B9CF" w:rsidR="000C284C" w:rsidRDefault="00427C1B" w:rsidP="00427C1B">
      <w:pPr>
        <w:pStyle w:val="Sinespaciado1"/>
        <w:spacing w:before="120" w:after="120"/>
        <w:jc w:val="center"/>
        <w:rPr>
          <w:rFonts w:ascii="Century Gothic" w:hAnsi="Century Gothic" w:cs="MyriadPro-Regular"/>
          <w:b/>
        </w:rPr>
      </w:pPr>
      <w:r w:rsidRPr="00427C1B">
        <w:rPr>
          <w:noProof/>
          <w:lang w:val="es-ES_tradnl" w:eastAsia="es-ES_tradnl"/>
        </w:rPr>
        <w:drawing>
          <wp:inline distT="0" distB="0" distL="0" distR="0" wp14:anchorId="45107081" wp14:editId="0D7C86F7">
            <wp:extent cx="5612292" cy="2054087"/>
            <wp:effectExtent l="0" t="0" r="7620" b="381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054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4145B3" w14:textId="18048010" w:rsidR="00990EE8" w:rsidRDefault="00990EE8" w:rsidP="00990EE8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>Comparando los precios entre septiembre de la presente gestión, respecto de diciembre de 2016, y agrupados los alimentos según la clase a la que pertenecen</w:t>
      </w:r>
      <w:r w:rsidR="00EE1DA0">
        <w:rPr>
          <w:rFonts w:ascii="Century Gothic" w:hAnsi="Century Gothic" w:cs="MyriadPro-Regular"/>
        </w:rPr>
        <w:t>, las</w:t>
      </w:r>
      <w:r>
        <w:rPr>
          <w:rFonts w:ascii="Century Gothic" w:hAnsi="Century Gothic" w:cs="MyriadPro-Regular"/>
        </w:rPr>
        <w:t xml:space="preserve"> </w:t>
      </w:r>
      <w:r w:rsidR="00EE1DA0">
        <w:rPr>
          <w:rFonts w:ascii="Century Gothic" w:hAnsi="Century Gothic" w:cs="MyriadPro-Regular"/>
        </w:rPr>
        <w:t>l</w:t>
      </w:r>
      <w:r w:rsidRPr="00990EE8">
        <w:rPr>
          <w:rFonts w:ascii="Century Gothic" w:hAnsi="Century Gothic" w:cs="MyriadPro-Regular"/>
        </w:rPr>
        <w:t>egumbres, hortalizas y tubérculos</w:t>
      </w:r>
      <w:r>
        <w:rPr>
          <w:rFonts w:ascii="Century Gothic" w:hAnsi="Century Gothic" w:cs="MyriadPro-Regular"/>
        </w:rPr>
        <w:t xml:space="preserve"> incrementaron sus precios en 16,3%; el a</w:t>
      </w:r>
      <w:r w:rsidRPr="00990EE8">
        <w:rPr>
          <w:rFonts w:ascii="Century Gothic" w:hAnsi="Century Gothic" w:cs="MyriadPro-Regular"/>
        </w:rPr>
        <w:t>gua mineral, refrescos</w:t>
      </w:r>
      <w:r>
        <w:rPr>
          <w:rFonts w:ascii="Century Gothic" w:hAnsi="Century Gothic" w:cs="MyriadPro-Regular"/>
        </w:rPr>
        <w:t xml:space="preserve"> y</w:t>
      </w:r>
      <w:r w:rsidRPr="00990EE8">
        <w:rPr>
          <w:rFonts w:ascii="Century Gothic" w:hAnsi="Century Gothic" w:cs="MyriadPro-Regular"/>
        </w:rPr>
        <w:t xml:space="preserve"> jugos de frutas</w:t>
      </w:r>
      <w:r>
        <w:rPr>
          <w:rFonts w:ascii="Century Gothic" w:hAnsi="Century Gothic" w:cs="MyriadPro-Regular"/>
        </w:rPr>
        <w:t xml:space="preserve"> en 2,7%; l</w:t>
      </w:r>
      <w:r w:rsidRPr="00990EE8">
        <w:rPr>
          <w:rFonts w:ascii="Century Gothic" w:hAnsi="Century Gothic" w:cs="MyriadPro-Regular"/>
        </w:rPr>
        <w:t xml:space="preserve">eche, queso y huevos </w:t>
      </w:r>
      <w:r>
        <w:rPr>
          <w:rFonts w:ascii="Century Gothic" w:hAnsi="Century Gothic" w:cs="MyriadPro-Regular"/>
        </w:rPr>
        <w:t>en 2,6%.</w:t>
      </w:r>
    </w:p>
    <w:p w14:paraId="4D163503" w14:textId="3C774811" w:rsidR="00990EE8" w:rsidRPr="00990EE8" w:rsidRDefault="00990EE8" w:rsidP="00990EE8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>En el mismo periodo</w:t>
      </w:r>
      <w:r w:rsidR="00EE1DA0">
        <w:rPr>
          <w:rFonts w:ascii="Century Gothic" w:hAnsi="Century Gothic" w:cs="MyriadPro-Regular"/>
        </w:rPr>
        <w:t>,</w:t>
      </w:r>
      <w:r>
        <w:rPr>
          <w:rFonts w:ascii="Century Gothic" w:hAnsi="Century Gothic" w:cs="MyriadPro-Regular"/>
        </w:rPr>
        <w:t xml:space="preserve"> los alimentos que bajaron en sus precios fueron: </w:t>
      </w:r>
      <w:r w:rsidR="00EE1DA0">
        <w:rPr>
          <w:rFonts w:ascii="Century Gothic" w:hAnsi="Century Gothic" w:cs="MyriadPro-Regular"/>
        </w:rPr>
        <w:t>c</w:t>
      </w:r>
      <w:r w:rsidRPr="00990EE8">
        <w:rPr>
          <w:rFonts w:ascii="Century Gothic" w:hAnsi="Century Gothic" w:cs="MyriadPro-Regular"/>
        </w:rPr>
        <w:t>arnes</w:t>
      </w:r>
      <w:r>
        <w:rPr>
          <w:rFonts w:ascii="Century Gothic" w:hAnsi="Century Gothic" w:cs="MyriadPro-Regular"/>
        </w:rPr>
        <w:t xml:space="preserve"> -2,5%; </w:t>
      </w:r>
      <w:r w:rsidR="00EE1DA0">
        <w:rPr>
          <w:rFonts w:ascii="Century Gothic" w:hAnsi="Century Gothic" w:cs="MyriadPro-Regular"/>
        </w:rPr>
        <w:t>f</w:t>
      </w:r>
      <w:r w:rsidRPr="00990EE8">
        <w:rPr>
          <w:rFonts w:ascii="Century Gothic" w:hAnsi="Century Gothic" w:cs="MyriadPro-Regular"/>
        </w:rPr>
        <w:t xml:space="preserve">rutas </w:t>
      </w:r>
      <w:r>
        <w:rPr>
          <w:rFonts w:ascii="Century Gothic" w:hAnsi="Century Gothic" w:cs="MyriadPro-Regular"/>
        </w:rPr>
        <w:t>-1,01%</w:t>
      </w:r>
      <w:r w:rsidR="00EE1DA0">
        <w:rPr>
          <w:rFonts w:ascii="Century Gothic" w:hAnsi="Century Gothic" w:cs="MyriadPro-Regular"/>
        </w:rPr>
        <w:t>,</w:t>
      </w:r>
      <w:r>
        <w:rPr>
          <w:rFonts w:ascii="Century Gothic" w:hAnsi="Century Gothic" w:cs="MyriadPro-Regular"/>
        </w:rPr>
        <w:t xml:space="preserve"> </w:t>
      </w:r>
      <w:r w:rsidR="00720566">
        <w:rPr>
          <w:rFonts w:ascii="Century Gothic" w:hAnsi="Century Gothic" w:cs="MyriadPro-Regular"/>
        </w:rPr>
        <w:t>principalmente.</w:t>
      </w:r>
    </w:p>
    <w:p w14:paraId="373877CE" w14:textId="3C25D2B0" w:rsidR="003F66F4" w:rsidRDefault="00CD6892" w:rsidP="003F66F4">
      <w:pPr>
        <w:pStyle w:val="Sinespaciado1"/>
        <w:spacing w:before="120" w:after="120"/>
        <w:rPr>
          <w:rFonts w:ascii="Century Gothic" w:hAnsi="Century Gothic" w:cs="MyriadPro-Regular"/>
          <w:b/>
        </w:rPr>
      </w:pPr>
      <w:r w:rsidRPr="00CD6892">
        <w:rPr>
          <w:noProof/>
          <w:lang w:val="es-ES_tradnl" w:eastAsia="es-ES_tradnl"/>
        </w:rPr>
        <w:lastRenderedPageBreak/>
        <w:drawing>
          <wp:inline distT="0" distB="0" distL="0" distR="0" wp14:anchorId="7427FF2E" wp14:editId="46140D87">
            <wp:extent cx="5612130" cy="3098679"/>
            <wp:effectExtent l="0" t="0" r="7620" b="6985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098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5011D3" w14:textId="77777777" w:rsidR="00EE1DA0" w:rsidRDefault="004049E3" w:rsidP="004049E3">
      <w:pPr>
        <w:pStyle w:val="Sinespaciado1"/>
        <w:spacing w:before="120" w:after="120"/>
        <w:jc w:val="both"/>
        <w:rPr>
          <w:rFonts w:ascii="Century Gothic" w:hAnsi="Century Gothic" w:cs="MyriadPro-Regular"/>
          <w:i/>
          <w:szCs w:val="24"/>
        </w:rPr>
      </w:pPr>
      <w:r w:rsidRPr="004049E3">
        <w:rPr>
          <w:rFonts w:ascii="Century Gothic" w:hAnsi="Century Gothic" w:cs="MyriadPro-Regular"/>
          <w:i/>
          <w:szCs w:val="24"/>
        </w:rPr>
        <w:t xml:space="preserve">En el agregado de alimentos consumidos dentro y fuera del hogar, hasta </w:t>
      </w:r>
      <w:r>
        <w:rPr>
          <w:rFonts w:ascii="Century Gothic" w:hAnsi="Century Gothic" w:cs="MyriadPro-Regular"/>
          <w:i/>
          <w:szCs w:val="24"/>
        </w:rPr>
        <w:t xml:space="preserve">septiembre </w:t>
      </w:r>
      <w:r w:rsidRPr="004049E3">
        <w:rPr>
          <w:rFonts w:ascii="Century Gothic" w:hAnsi="Century Gothic" w:cs="MyriadPro-Regular"/>
          <w:i/>
          <w:szCs w:val="24"/>
        </w:rPr>
        <w:t>de 201</w:t>
      </w:r>
      <w:r>
        <w:rPr>
          <w:rFonts w:ascii="Century Gothic" w:hAnsi="Century Gothic" w:cs="MyriadPro-Regular"/>
          <w:i/>
          <w:szCs w:val="24"/>
        </w:rPr>
        <w:t>7</w:t>
      </w:r>
      <w:r w:rsidRPr="004049E3">
        <w:rPr>
          <w:rFonts w:ascii="Century Gothic" w:hAnsi="Century Gothic" w:cs="MyriadPro-Regular"/>
          <w:i/>
          <w:szCs w:val="24"/>
        </w:rPr>
        <w:t>, la variación de precios a 12 meses alcanzó a 4,</w:t>
      </w:r>
      <w:r>
        <w:rPr>
          <w:rFonts w:ascii="Century Gothic" w:hAnsi="Century Gothic" w:cs="MyriadPro-Regular"/>
          <w:i/>
          <w:szCs w:val="24"/>
        </w:rPr>
        <w:t>03</w:t>
      </w:r>
      <w:r w:rsidR="00EE1DA0">
        <w:rPr>
          <w:rFonts w:ascii="Century Gothic" w:hAnsi="Century Gothic" w:cs="MyriadPro-Regular"/>
          <w:i/>
          <w:szCs w:val="24"/>
        </w:rPr>
        <w:t>%. En cambio, el Índice de P</w:t>
      </w:r>
      <w:r w:rsidRPr="004049E3">
        <w:rPr>
          <w:rFonts w:ascii="Century Gothic" w:hAnsi="Century Gothic" w:cs="MyriadPro-Regular"/>
          <w:i/>
          <w:szCs w:val="24"/>
        </w:rPr>
        <w:t>recio</w:t>
      </w:r>
      <w:r w:rsidR="00EE1DA0">
        <w:rPr>
          <w:rFonts w:ascii="Century Gothic" w:hAnsi="Century Gothic" w:cs="MyriadPro-Regular"/>
          <w:i/>
          <w:szCs w:val="24"/>
        </w:rPr>
        <w:t>s al C</w:t>
      </w:r>
      <w:r w:rsidRPr="004049E3">
        <w:rPr>
          <w:rFonts w:ascii="Century Gothic" w:hAnsi="Century Gothic" w:cs="MyriadPro-Regular"/>
          <w:i/>
          <w:szCs w:val="24"/>
        </w:rPr>
        <w:t>onsumidor sin alimentos tuvo una variación de 2,</w:t>
      </w:r>
      <w:r>
        <w:rPr>
          <w:rFonts w:ascii="Century Gothic" w:hAnsi="Century Gothic" w:cs="MyriadPro-Regular"/>
          <w:i/>
          <w:szCs w:val="24"/>
        </w:rPr>
        <w:t>6</w:t>
      </w:r>
      <w:r w:rsidRPr="004049E3">
        <w:rPr>
          <w:rFonts w:ascii="Century Gothic" w:hAnsi="Century Gothic" w:cs="MyriadPro-Regular"/>
          <w:i/>
          <w:szCs w:val="24"/>
        </w:rPr>
        <w:t xml:space="preserve">%. </w:t>
      </w:r>
    </w:p>
    <w:p w14:paraId="38145A98" w14:textId="3FC8B0E1" w:rsidR="00C31AFB" w:rsidRPr="004049E3" w:rsidRDefault="004049E3" w:rsidP="004049E3">
      <w:pPr>
        <w:pStyle w:val="Sinespaciado1"/>
        <w:spacing w:before="120" w:after="120"/>
        <w:jc w:val="both"/>
        <w:rPr>
          <w:rFonts w:ascii="Century Gothic" w:hAnsi="Century Gothic" w:cs="MyriadPro-Regular"/>
          <w:i/>
          <w:szCs w:val="24"/>
        </w:rPr>
      </w:pPr>
      <w:r w:rsidRPr="004049E3">
        <w:rPr>
          <w:rFonts w:ascii="Century Gothic" w:hAnsi="Century Gothic" w:cs="MyriadPro-Regular"/>
          <w:i/>
          <w:szCs w:val="24"/>
        </w:rPr>
        <w:t xml:space="preserve">En términos generales de todos los bienes y servicios, la variación de precios entre </w:t>
      </w:r>
      <w:r w:rsidR="00720566">
        <w:rPr>
          <w:rFonts w:ascii="Century Gothic" w:hAnsi="Century Gothic" w:cs="MyriadPro-Regular"/>
          <w:i/>
          <w:szCs w:val="24"/>
        </w:rPr>
        <w:t xml:space="preserve">septiembre </w:t>
      </w:r>
      <w:r w:rsidRPr="004049E3">
        <w:rPr>
          <w:rFonts w:ascii="Century Gothic" w:hAnsi="Century Gothic" w:cs="MyriadPro-Regular"/>
          <w:i/>
          <w:szCs w:val="24"/>
        </w:rPr>
        <w:t>201</w:t>
      </w:r>
      <w:r w:rsidR="00720566">
        <w:rPr>
          <w:rFonts w:ascii="Century Gothic" w:hAnsi="Century Gothic" w:cs="MyriadPro-Regular"/>
          <w:i/>
          <w:szCs w:val="24"/>
        </w:rPr>
        <w:t>7</w:t>
      </w:r>
      <w:r w:rsidRPr="004049E3">
        <w:rPr>
          <w:rFonts w:ascii="Century Gothic" w:hAnsi="Century Gothic" w:cs="MyriadPro-Regular"/>
          <w:i/>
          <w:szCs w:val="24"/>
        </w:rPr>
        <w:t xml:space="preserve"> respecto a </w:t>
      </w:r>
      <w:r w:rsidR="00720566">
        <w:rPr>
          <w:rFonts w:ascii="Century Gothic" w:hAnsi="Century Gothic" w:cs="MyriadPro-Regular"/>
          <w:i/>
          <w:szCs w:val="24"/>
        </w:rPr>
        <w:t>septiembre</w:t>
      </w:r>
      <w:r w:rsidRPr="004049E3">
        <w:rPr>
          <w:rFonts w:ascii="Century Gothic" w:hAnsi="Century Gothic" w:cs="MyriadPro-Regular"/>
          <w:i/>
          <w:szCs w:val="24"/>
        </w:rPr>
        <w:t xml:space="preserve"> de la pasada gestión fue de 3,</w:t>
      </w:r>
      <w:r w:rsidR="003F66F4">
        <w:rPr>
          <w:rFonts w:ascii="Century Gothic" w:hAnsi="Century Gothic" w:cs="MyriadPro-Regular"/>
          <w:i/>
          <w:szCs w:val="24"/>
        </w:rPr>
        <w:t>61</w:t>
      </w:r>
      <w:r w:rsidRPr="004049E3">
        <w:rPr>
          <w:rFonts w:ascii="Century Gothic" w:hAnsi="Century Gothic" w:cs="MyriadPro-Regular"/>
          <w:i/>
          <w:szCs w:val="24"/>
        </w:rPr>
        <w:t>%.</w:t>
      </w:r>
    </w:p>
    <w:p w14:paraId="7FE44305" w14:textId="76DE237B" w:rsidR="00C31AFB" w:rsidRPr="004049E3" w:rsidRDefault="004049E3" w:rsidP="00427C1B">
      <w:pPr>
        <w:pStyle w:val="Sinespaciado1"/>
        <w:spacing w:before="120" w:after="120"/>
        <w:jc w:val="center"/>
        <w:rPr>
          <w:rFonts w:ascii="Century Gothic" w:hAnsi="Century Gothic" w:cs="MyriadPro-Regular"/>
          <w:i/>
          <w:szCs w:val="24"/>
        </w:rPr>
      </w:pPr>
      <w:r w:rsidRPr="004049E3">
        <w:rPr>
          <w:noProof/>
          <w:lang w:val="es-ES_tradnl" w:eastAsia="es-ES_tradnl"/>
        </w:rPr>
        <w:drawing>
          <wp:inline distT="0" distB="0" distL="0" distR="0" wp14:anchorId="589DDD37" wp14:editId="765DF6E7">
            <wp:extent cx="5612130" cy="2657234"/>
            <wp:effectExtent l="0" t="0" r="762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657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AE9BA0" w14:textId="0352E877" w:rsidR="008740C0" w:rsidRPr="009169A6" w:rsidRDefault="008740C0" w:rsidP="008740C0">
      <w:pPr>
        <w:pStyle w:val="Sinespaciado1"/>
        <w:spacing w:before="120" w:after="120"/>
        <w:rPr>
          <w:rFonts w:ascii="Century Gothic" w:hAnsi="Century Gothic" w:cs="MyriadPro-Regular"/>
          <w:color w:val="7F7F7F"/>
          <w:sz w:val="16"/>
        </w:rPr>
      </w:pPr>
      <w:r w:rsidRPr="009169A6">
        <w:rPr>
          <w:rFonts w:ascii="Century Gothic" w:hAnsi="Century Gothic" w:cs="MyriadPro-Regular"/>
          <w:color w:val="7F7F7F"/>
          <w:sz w:val="16"/>
        </w:rPr>
        <w:t>Fundación Jubileo</w:t>
      </w:r>
      <w:r w:rsidRPr="009169A6">
        <w:rPr>
          <w:rFonts w:ascii="Century Gothic" w:hAnsi="Century Gothic" w:cs="MyriadPro-Regular"/>
          <w:color w:val="7F7F7F"/>
          <w:sz w:val="16"/>
        </w:rPr>
        <w:br/>
      </w:r>
      <w:r w:rsidR="00C31AFB">
        <w:rPr>
          <w:rFonts w:ascii="Century Gothic" w:hAnsi="Century Gothic" w:cs="MyriadPro-Regular"/>
          <w:color w:val="7F7F7F"/>
          <w:sz w:val="16"/>
        </w:rPr>
        <w:t>Octubre</w:t>
      </w:r>
      <w:r w:rsidR="000172DE">
        <w:rPr>
          <w:rFonts w:ascii="Century Gothic" w:hAnsi="Century Gothic" w:cs="MyriadPro-Regular"/>
          <w:color w:val="7F7F7F"/>
          <w:sz w:val="16"/>
        </w:rPr>
        <w:t xml:space="preserve"> </w:t>
      </w:r>
      <w:r w:rsidRPr="009169A6">
        <w:rPr>
          <w:rFonts w:ascii="Century Gothic" w:hAnsi="Century Gothic" w:cs="MyriadPro-Regular"/>
          <w:color w:val="7F7F7F"/>
          <w:sz w:val="16"/>
        </w:rPr>
        <w:t>201</w:t>
      </w:r>
      <w:r w:rsidR="000172DE">
        <w:rPr>
          <w:rFonts w:ascii="Century Gothic" w:hAnsi="Century Gothic" w:cs="MyriadPro-Regular"/>
          <w:color w:val="7F7F7F"/>
          <w:sz w:val="16"/>
        </w:rPr>
        <w:t>7</w:t>
      </w:r>
    </w:p>
    <w:sectPr w:rsidR="008740C0" w:rsidRPr="009169A6" w:rsidSect="008740C0">
      <w:headerReference w:type="default" r:id="rId14"/>
      <w:footerReference w:type="default" r:id="rId15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EFB553" w14:textId="77777777" w:rsidR="00A0032E" w:rsidRDefault="00A0032E" w:rsidP="008740C0">
      <w:pPr>
        <w:spacing w:after="0" w:line="240" w:lineRule="auto"/>
      </w:pPr>
      <w:r>
        <w:separator/>
      </w:r>
    </w:p>
  </w:endnote>
  <w:endnote w:type="continuationSeparator" w:id="0">
    <w:p w14:paraId="7CD0F62A" w14:textId="77777777" w:rsidR="00A0032E" w:rsidRDefault="00A0032E" w:rsidP="008740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auto"/>
    <w:pitch w:val="variable"/>
    <w:sig w:usb0="00000287" w:usb1="00000000" w:usb2="00000000" w:usb3="00000000" w:csb0="0000009F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9A85A3" w14:textId="77777777" w:rsidR="008740C0" w:rsidRPr="00531C65" w:rsidRDefault="008740C0">
    <w:pPr>
      <w:pStyle w:val="Piedepgina"/>
      <w:jc w:val="right"/>
      <w:rPr>
        <w:sz w:val="20"/>
      </w:rPr>
    </w:pPr>
    <w:r>
      <w:fldChar w:fldCharType="begin"/>
    </w:r>
    <w:r>
      <w:instrText xml:space="preserve"> </w:instrText>
    </w:r>
    <w:r w:rsidR="009169A6">
      <w:instrText>PAGE</w:instrText>
    </w:r>
    <w:r>
      <w:instrText xml:space="preserve">   \* MERGEFORMAT </w:instrText>
    </w:r>
    <w:r>
      <w:fldChar w:fldCharType="separate"/>
    </w:r>
    <w:r w:rsidR="007C399F" w:rsidRPr="007C399F">
      <w:rPr>
        <w:noProof/>
        <w:sz w:val="20"/>
      </w:rPr>
      <w:t>1</w:t>
    </w:r>
    <w:r>
      <w:rPr>
        <w:noProof/>
        <w:sz w:val="20"/>
      </w:rPr>
      <w:fldChar w:fldCharType="end"/>
    </w:r>
  </w:p>
  <w:p w14:paraId="4505B547" w14:textId="77777777" w:rsidR="008740C0" w:rsidRPr="00531C65" w:rsidRDefault="00ED6348">
    <w:pPr>
      <w:pStyle w:val="Piedepgina"/>
      <w:rPr>
        <w:sz w:val="20"/>
      </w:rPr>
    </w:pPr>
    <w:r>
      <w:rPr>
        <w:noProof/>
        <w:sz w:val="20"/>
        <w:lang w:val="es-ES_tradnl" w:eastAsia="es-ES_tradn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281EF7B" wp14:editId="1DCCFDDA">
              <wp:simplePos x="0" y="0"/>
              <wp:positionH relativeFrom="column">
                <wp:posOffset>-143510</wp:posOffset>
              </wp:positionH>
              <wp:positionV relativeFrom="paragraph">
                <wp:posOffset>83820</wp:posOffset>
              </wp:positionV>
              <wp:extent cx="6019800" cy="67310"/>
              <wp:effectExtent l="0" t="0" r="0" b="8890"/>
              <wp:wrapTight wrapText="bothSides">
                <wp:wrapPolygon edited="0">
                  <wp:start x="0" y="0"/>
                  <wp:lineTo x="0" y="18340"/>
                  <wp:lineTo x="21532" y="18340"/>
                  <wp:lineTo x="21532" y="0"/>
                  <wp:lineTo x="0" y="0"/>
                </wp:wrapPolygon>
              </wp:wrapTight>
              <wp:docPr id="4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V="1">
                        <a:off x="0" y="0"/>
                        <a:ext cx="6019800" cy="67310"/>
                      </a:xfrm>
                      <a:prstGeom prst="rect">
                        <a:avLst/>
                      </a:prstGeom>
                      <a:solidFill>
                        <a:srgbClr val="003366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4" o:spid="_x0000_s1026" style="position:absolute;margin-left:-11.3pt;margin-top:6.6pt;width:474pt;height:5.3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" fillcolor="#036" stroked="f">
              <w10:wrap type="tight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D9EF56" w14:textId="77777777" w:rsidR="00A0032E" w:rsidRDefault="00A0032E" w:rsidP="008740C0">
      <w:pPr>
        <w:spacing w:after="0" w:line="240" w:lineRule="auto"/>
      </w:pPr>
      <w:r>
        <w:separator/>
      </w:r>
    </w:p>
  </w:footnote>
  <w:footnote w:type="continuationSeparator" w:id="0">
    <w:p w14:paraId="6A2F70FB" w14:textId="77777777" w:rsidR="00A0032E" w:rsidRDefault="00A0032E" w:rsidP="008740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A480E2" w14:textId="77777777" w:rsidR="008740C0" w:rsidRDefault="00ED6348">
    <w:pPr>
      <w:pStyle w:val="Encabezado"/>
    </w:pPr>
    <w:r>
      <w:rPr>
        <w:noProof/>
        <w:lang w:val="es-ES_tradnl" w:eastAsia="es-ES_tradnl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0FE052F5" wp14:editId="2BDB2E0A">
              <wp:simplePos x="0" y="0"/>
              <wp:positionH relativeFrom="column">
                <wp:posOffset>-143510</wp:posOffset>
              </wp:positionH>
              <wp:positionV relativeFrom="paragraph">
                <wp:posOffset>68580</wp:posOffset>
              </wp:positionV>
              <wp:extent cx="5981700" cy="67310"/>
              <wp:effectExtent l="0" t="0" r="19050" b="8890"/>
              <wp:wrapTight wrapText="bothSides">
                <wp:wrapPolygon edited="0">
                  <wp:start x="0" y="0"/>
                  <wp:lineTo x="0" y="6113"/>
                  <wp:lineTo x="19261" y="18340"/>
                  <wp:lineTo x="21600" y="18340"/>
                  <wp:lineTo x="21600" y="0"/>
                  <wp:lineTo x="0" y="0"/>
                </wp:wrapPolygon>
              </wp:wrapTight>
              <wp:docPr id="6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67310"/>
                        <a:chOff x="1699" y="3060"/>
                        <a:chExt cx="8820" cy="115"/>
                      </a:xfrm>
                    </wpg:grpSpPr>
                    <wps:wsp>
                      <wps:cNvPr id="7" name="Line 2"/>
                      <wps:cNvCnPr/>
                      <wps:spPr bwMode="auto">
                        <a:xfrm>
                          <a:off x="1699" y="3060"/>
                          <a:ext cx="88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336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" name="Rectangle 3"/>
                      <wps:cNvSpPr>
                        <a:spLocks noChangeArrowheads="1"/>
                      </wps:cNvSpPr>
                      <wps:spPr bwMode="auto">
                        <a:xfrm>
                          <a:off x="9619" y="3060"/>
                          <a:ext cx="900" cy="115"/>
                        </a:xfrm>
                        <a:prstGeom prst="rect">
                          <a:avLst/>
                        </a:prstGeom>
                        <a:solidFill>
                          <a:srgbClr val="00336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11.3pt;margin-top:5.4pt;width:471pt;height:5.3pt;z-index:251657216" coordorigin="1699,3060" coordsize="8820,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">
              <v:line id="Line 2" o:spid="_x0000_s1027" style="position:absolute;visibility:visible;mso-wrap-style:square" from="1699,3060" to="10519,30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VFFc8AAAADaAAAADwAAAGRycy9kb3ducmV2LnhtbESPQYvCMBSE74L/ITxhb5q6ByvVKEUQ&#10;Vk9WBa+P5tkWm5fSRFP//WZhweMwM98w6+1gWvGi3jWWFcxnCQji0uqGKwXXy366BOE8ssbWMil4&#10;k4PtZjxaY6Zt4IJeZ1+JCGGXoYLa+y6T0pU1GXQz2xFH7257gz7KvpK6xxDhppXfSbKQBhuOCzV2&#10;tKupfJyfRsEtD7f54ZIHv0+LU9idBnNMC6W+JkO+AuFp8J/wf/tHK0jh70q8AXLz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VRRXPAAAAA2gAAAA8AAAAAAAAAAAAAAAAA&#10;oQIAAGRycy9kb3ducmV2LnhtbFBLBQYAAAAABAAEAPkAAACOAwAAAAA=&#10;" strokecolor="#036"/>
              <v:rect id="Rectangle 3" o:spid="_x0000_s1028" style="position:absolute;left:9619;top:3060;width:900;height:1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0T88UA&#10;AADaAAAADwAAAGRycy9kb3ducmV2LnhtbESPQWvCQBSE7wX/w/IKXopu7EFqmo2IEigFi01U8PbI&#10;viah2bchu5r033eFQo/DzHzDJOvRtOJGvWssK1jMIxDEpdUNVwqORTZ7AeE8ssbWMin4IQfrdPKQ&#10;YKztwJ90y30lAoRdjApq77tYSlfWZNDNbUccvC/bG/RB9pXUPQ4Bblr5HEVLabDhsFBjR9uayu/8&#10;ahQU2ftl+Fgt95fm6bQ7VNn+nG+0UtPHcfMKwtPo/8N/7TetYAX3K+EGyPQ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bRPzxQAAANoAAAAPAAAAAAAAAAAAAAAAAJgCAABkcnMv&#10;ZG93bnJldi54bWxQSwUGAAAAAAQABAD1AAAAigMAAAAA&#10;" fillcolor="#036" stroked="f"/>
              <w10:wrap type="tight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3474A8"/>
    <w:multiLevelType w:val="hybridMultilevel"/>
    <w:tmpl w:val="49EC645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37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stylePaneSortMethod w:val="00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>
      <o:colormru v:ext="edit" colors="#4c9fff,#e6f1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E17"/>
    <w:rsid w:val="000172DE"/>
    <w:rsid w:val="00057754"/>
    <w:rsid w:val="000978C8"/>
    <w:rsid w:val="000C284C"/>
    <w:rsid w:val="000C3C2B"/>
    <w:rsid w:val="000F7F4A"/>
    <w:rsid w:val="00123E98"/>
    <w:rsid w:val="001444B8"/>
    <w:rsid w:val="001624A8"/>
    <w:rsid w:val="001B0C85"/>
    <w:rsid w:val="001B2B43"/>
    <w:rsid w:val="001C7E17"/>
    <w:rsid w:val="001E05D0"/>
    <w:rsid w:val="00205FBB"/>
    <w:rsid w:val="002C15B8"/>
    <w:rsid w:val="002E0E3A"/>
    <w:rsid w:val="00330C4B"/>
    <w:rsid w:val="003405CD"/>
    <w:rsid w:val="003701F3"/>
    <w:rsid w:val="003C1AB9"/>
    <w:rsid w:val="003F22DE"/>
    <w:rsid w:val="003F66F4"/>
    <w:rsid w:val="004049E3"/>
    <w:rsid w:val="00427C1B"/>
    <w:rsid w:val="0044420C"/>
    <w:rsid w:val="0046261B"/>
    <w:rsid w:val="00463803"/>
    <w:rsid w:val="004A07D2"/>
    <w:rsid w:val="004C1A10"/>
    <w:rsid w:val="004C25F8"/>
    <w:rsid w:val="004F60E8"/>
    <w:rsid w:val="00520BF4"/>
    <w:rsid w:val="00561BA2"/>
    <w:rsid w:val="005702ED"/>
    <w:rsid w:val="00576ACF"/>
    <w:rsid w:val="00602E89"/>
    <w:rsid w:val="00634DC9"/>
    <w:rsid w:val="0071421E"/>
    <w:rsid w:val="00720566"/>
    <w:rsid w:val="00726A36"/>
    <w:rsid w:val="0076297F"/>
    <w:rsid w:val="007C399F"/>
    <w:rsid w:val="007D4A2F"/>
    <w:rsid w:val="008046CC"/>
    <w:rsid w:val="008740C0"/>
    <w:rsid w:val="009169A6"/>
    <w:rsid w:val="00990EE8"/>
    <w:rsid w:val="009E144C"/>
    <w:rsid w:val="009E6CEE"/>
    <w:rsid w:val="00A0032E"/>
    <w:rsid w:val="00A1274A"/>
    <w:rsid w:val="00A30B4C"/>
    <w:rsid w:val="00A54E9C"/>
    <w:rsid w:val="00A85F69"/>
    <w:rsid w:val="00AB1F07"/>
    <w:rsid w:val="00B41617"/>
    <w:rsid w:val="00B63F99"/>
    <w:rsid w:val="00B70CB4"/>
    <w:rsid w:val="00BE5190"/>
    <w:rsid w:val="00C31AFB"/>
    <w:rsid w:val="00C65445"/>
    <w:rsid w:val="00CD04A7"/>
    <w:rsid w:val="00CD51C1"/>
    <w:rsid w:val="00CD6892"/>
    <w:rsid w:val="00CF02D9"/>
    <w:rsid w:val="00D320B9"/>
    <w:rsid w:val="00D86FCE"/>
    <w:rsid w:val="00DE1B5F"/>
    <w:rsid w:val="00DF209D"/>
    <w:rsid w:val="00E627A4"/>
    <w:rsid w:val="00EA7C2E"/>
    <w:rsid w:val="00ED6348"/>
    <w:rsid w:val="00EE1DA0"/>
    <w:rsid w:val="00EF3604"/>
    <w:rsid w:val="00F1594C"/>
    <w:rsid w:val="00F263B4"/>
    <w:rsid w:val="00F54F95"/>
    <w:rsid w:val="00F77493"/>
    <w:rsid w:val="00FD4A60"/>
    <w:rsid w:val="00FF1B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o:colormru v:ext="edit" colors="#4c9fff,#e6f1ff"/>
    </o:shapedefaults>
    <o:shapelayout v:ext="edit">
      <o:idmap v:ext="edit" data="1"/>
    </o:shapelayout>
  </w:shapeDefaults>
  <w:decimalSymbol w:val=","/>
  <w:listSeparator w:val=","/>
  <w14:docId w14:val="3B3F4A6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/>
    <w:lsdException w:name="Note Level 9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 w:qFormat="1"/>
    <w:lsdException w:name="Colorful Grid Accent 1" w:qFormat="1"/>
    <w:lsdException w:name="Light Shading Accent 2" w:qFormat="1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45450B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CA5CD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4D5B7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CA5CD1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Ttulo2Car">
    <w:name w:val="Título 2 Car"/>
    <w:link w:val="Ttulo2"/>
    <w:uiPriority w:val="9"/>
    <w:rsid w:val="004D5B7A"/>
    <w:rPr>
      <w:rFonts w:ascii="Times New Roman" w:eastAsia="Times New Roman" w:hAnsi="Times New Roman"/>
      <w:b/>
      <w:bCs/>
      <w:sz w:val="36"/>
      <w:szCs w:val="3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141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C01417"/>
    <w:rPr>
      <w:rFonts w:ascii="Tahoma" w:hAnsi="Tahoma" w:cs="Tahoma"/>
      <w:sz w:val="16"/>
      <w:szCs w:val="16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1B0518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rsid w:val="001B0518"/>
    <w:rPr>
      <w:sz w:val="20"/>
      <w:szCs w:val="20"/>
    </w:rPr>
  </w:style>
  <w:style w:type="character" w:styleId="Refdenotaalfinal">
    <w:name w:val="endnote reference"/>
    <w:uiPriority w:val="99"/>
    <w:semiHidden/>
    <w:unhideWhenUsed/>
    <w:rsid w:val="001B0518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66C9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rsid w:val="00A66C96"/>
    <w:rPr>
      <w:sz w:val="20"/>
      <w:szCs w:val="20"/>
    </w:rPr>
  </w:style>
  <w:style w:type="character" w:styleId="Refdenotaalpie">
    <w:name w:val="footnote reference"/>
    <w:uiPriority w:val="99"/>
    <w:semiHidden/>
    <w:unhideWhenUsed/>
    <w:rsid w:val="00A66C96"/>
    <w:rPr>
      <w:vertAlign w:val="superscript"/>
    </w:rPr>
  </w:style>
  <w:style w:type="paragraph" w:styleId="Encabezado">
    <w:name w:val="header"/>
    <w:basedOn w:val="Normal"/>
    <w:link w:val="EncabezadoCar"/>
    <w:uiPriority w:val="99"/>
    <w:semiHidden/>
    <w:unhideWhenUsed/>
    <w:rsid w:val="00531C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531C65"/>
  </w:style>
  <w:style w:type="paragraph" w:styleId="Piedepgina">
    <w:name w:val="footer"/>
    <w:basedOn w:val="Normal"/>
    <w:link w:val="PiedepginaCar"/>
    <w:uiPriority w:val="99"/>
    <w:unhideWhenUsed/>
    <w:rsid w:val="00531C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31C65"/>
  </w:style>
  <w:style w:type="table" w:styleId="Tablaconcuadrcula">
    <w:name w:val="Table Grid"/>
    <w:basedOn w:val="Tablanormal"/>
    <w:uiPriority w:val="59"/>
    <w:rsid w:val="00465A59"/>
    <w:rPr>
      <w:sz w:val="22"/>
      <w:szCs w:val="22"/>
      <w:lang w:val="es-ES_tradnl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uiPriority w:val="99"/>
    <w:unhideWhenUsed/>
    <w:rsid w:val="00CA5CD1"/>
    <w:rPr>
      <w:color w:val="0000FF"/>
      <w:u w:val="single"/>
    </w:rPr>
  </w:style>
  <w:style w:type="paragraph" w:customStyle="1" w:styleId="Sinespaciado1">
    <w:name w:val="Sin espaciado1"/>
    <w:uiPriority w:val="1"/>
    <w:qFormat/>
    <w:rsid w:val="00947BDC"/>
    <w:rPr>
      <w:rFonts w:ascii="Cambria" w:eastAsia="Cambria" w:hAnsi="Cambria"/>
      <w:sz w:val="22"/>
      <w:szCs w:val="22"/>
      <w:lang w:eastAsia="en-US"/>
    </w:rPr>
  </w:style>
  <w:style w:type="table" w:customStyle="1" w:styleId="Sombreadoclaro-nfasis11">
    <w:name w:val="Sombreado claro - Énfasis 11"/>
    <w:basedOn w:val="Tablanormal"/>
    <w:uiPriority w:val="60"/>
    <w:rsid w:val="00947BDC"/>
    <w:rPr>
      <w:rFonts w:ascii="Cambria" w:eastAsia="Cambria" w:hAnsi="Cambria"/>
      <w:color w:val="365F91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6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emf"/><Relationship Id="rId12" Type="http://schemas.openxmlformats.org/officeDocument/2006/relationships/image" Target="media/image5.emf"/><Relationship Id="rId13" Type="http://schemas.openxmlformats.org/officeDocument/2006/relationships/image" Target="media/image6.emf"/><Relationship Id="rId14" Type="http://schemas.openxmlformats.org/officeDocument/2006/relationships/header" Target="header1.xml"/><Relationship Id="rId15" Type="http://schemas.openxmlformats.org/officeDocument/2006/relationships/footer" Target="footer1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image" Target="media/image2.emf"/><Relationship Id="rId10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4D2123AD-8F83-DA44-BE5B-ACE3ABA91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457</Words>
  <Characters>2517</Characters>
  <Application>Microsoft Macintosh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Fundación Jubileo</Company>
  <LinksUpToDate>false</LinksUpToDate>
  <CharactersWithSpaces>2969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</dc:creator>
  <cp:lastModifiedBy>Usuario de Microsoft Office</cp:lastModifiedBy>
  <cp:revision>3</cp:revision>
  <cp:lastPrinted>2017-06-06T19:46:00Z</cp:lastPrinted>
  <dcterms:created xsi:type="dcterms:W3CDTF">2017-10-06T19:22:00Z</dcterms:created>
  <dcterms:modified xsi:type="dcterms:W3CDTF">2017-10-06T20:02:00Z</dcterms:modified>
</cp:coreProperties>
</file>