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2BFBFF" w14:textId="568A1998" w:rsidR="00F05DBF" w:rsidRPr="00A25C31" w:rsidRDefault="00813E68" w:rsidP="00DD01DF">
      <w:pPr>
        <w:pStyle w:val="p1"/>
        <w:ind w:right="-7"/>
        <w:rPr>
          <w:color w:val="682804"/>
          <w:sz w:val="28"/>
          <w:szCs w:val="28"/>
        </w:rPr>
      </w:pPr>
      <w:r>
        <w:rPr>
          <w:color w:val="682804"/>
          <w:sz w:val="28"/>
          <w:szCs w:val="28"/>
        </w:rPr>
        <w:t>Gobernaciones y alcaldías</w:t>
      </w:r>
      <w:r w:rsidR="00E1431E">
        <w:rPr>
          <w:color w:val="682804"/>
          <w:sz w:val="28"/>
          <w:szCs w:val="28"/>
        </w:rPr>
        <w:t xml:space="preserve"> </w:t>
      </w:r>
      <w:r>
        <w:rPr>
          <w:color w:val="682804"/>
          <w:sz w:val="28"/>
          <w:szCs w:val="28"/>
        </w:rPr>
        <w:t>tendrán que priorizar inversiones</w:t>
      </w:r>
      <w:r w:rsidR="00E1431E">
        <w:rPr>
          <w:color w:val="682804"/>
          <w:sz w:val="28"/>
          <w:szCs w:val="28"/>
        </w:rPr>
        <w:t xml:space="preserve"> </w:t>
      </w:r>
      <w:r w:rsidR="00C34C7B">
        <w:rPr>
          <w:color w:val="682804"/>
          <w:sz w:val="28"/>
          <w:szCs w:val="28"/>
        </w:rPr>
        <w:br/>
      </w:r>
      <w:r w:rsidR="000400EB">
        <w:rPr>
          <w:color w:val="682804"/>
          <w:sz w:val="28"/>
          <w:szCs w:val="28"/>
        </w:rPr>
        <w:t xml:space="preserve">para fomentar reactivación económica y </w:t>
      </w:r>
      <w:r w:rsidR="00C34C7B">
        <w:rPr>
          <w:color w:val="682804"/>
          <w:sz w:val="28"/>
          <w:szCs w:val="28"/>
        </w:rPr>
        <w:t xml:space="preserve">atención en </w:t>
      </w:r>
      <w:r w:rsidR="000400EB">
        <w:rPr>
          <w:color w:val="682804"/>
          <w:sz w:val="28"/>
          <w:szCs w:val="28"/>
        </w:rPr>
        <w:t>salud</w:t>
      </w:r>
    </w:p>
    <w:p w14:paraId="6A6F1643" w14:textId="77777777" w:rsidR="00E3093C" w:rsidRDefault="00F05DBF" w:rsidP="00C16800">
      <w:r w:rsidRPr="00F05DBF">
        <w:rPr>
          <w:noProof/>
          <w:lang w:eastAsia="es-ES_tradnl"/>
        </w:rPr>
        <w:drawing>
          <wp:inline distT="0" distB="0" distL="0" distR="0" wp14:anchorId="78A020DD" wp14:editId="043E0115">
            <wp:extent cx="5486597" cy="50336"/>
            <wp:effectExtent l="0" t="0" r="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772019" cy="11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57D9DE" w14:textId="77777777" w:rsidR="00990701" w:rsidRPr="00DD01DF" w:rsidRDefault="00990701" w:rsidP="00C16800">
      <w:pPr>
        <w:rPr>
          <w:color w:val="385623" w:themeColor="accent6" w:themeShade="80"/>
        </w:rPr>
      </w:pPr>
    </w:p>
    <w:p w14:paraId="29324C51" w14:textId="2C7A257B" w:rsidR="000D47FF" w:rsidRPr="00A25C31" w:rsidRDefault="00683EF4" w:rsidP="000D47FF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Helvetica" w:hAnsi="Helvetica"/>
          <w:color w:val="682804"/>
          <w:sz w:val="20"/>
          <w:szCs w:val="20"/>
        </w:rPr>
      </w:pPr>
      <w:r>
        <w:rPr>
          <w:rFonts w:ascii="Helvetica" w:hAnsi="Helvetica"/>
          <w:color w:val="682804"/>
          <w:sz w:val="20"/>
          <w:szCs w:val="20"/>
        </w:rPr>
        <w:t>Los gastos de capital</w:t>
      </w:r>
      <w:r w:rsidR="00A2031D">
        <w:rPr>
          <w:rFonts w:ascii="Helvetica" w:hAnsi="Helvetica"/>
          <w:color w:val="682804"/>
          <w:sz w:val="20"/>
          <w:szCs w:val="20"/>
        </w:rPr>
        <w:t xml:space="preserve"> de gobernaciones cay</w:t>
      </w:r>
      <w:r>
        <w:rPr>
          <w:rFonts w:ascii="Helvetica" w:hAnsi="Helvetica"/>
          <w:color w:val="682804"/>
          <w:sz w:val="20"/>
          <w:szCs w:val="20"/>
        </w:rPr>
        <w:t>eron</w:t>
      </w:r>
      <w:r w:rsidR="00A2031D">
        <w:rPr>
          <w:rFonts w:ascii="Helvetica" w:hAnsi="Helvetica"/>
          <w:color w:val="682804"/>
          <w:sz w:val="20"/>
          <w:szCs w:val="20"/>
        </w:rPr>
        <w:t xml:space="preserve"> en 47% desde 2014 y de municipios en 44%.</w:t>
      </w:r>
    </w:p>
    <w:p w14:paraId="058AB68C" w14:textId="04ADBE36" w:rsidR="00990701" w:rsidRPr="00097B3A" w:rsidRDefault="00A2031D" w:rsidP="00097B3A">
      <w:pPr>
        <w:pStyle w:val="Prrafodelista"/>
        <w:numPr>
          <w:ilvl w:val="0"/>
          <w:numId w:val="2"/>
        </w:numPr>
        <w:spacing w:after="200" w:line="276" w:lineRule="auto"/>
        <w:jc w:val="both"/>
        <w:rPr>
          <w:rFonts w:ascii="Helvetica" w:hAnsi="Helvetica"/>
          <w:color w:val="682804"/>
          <w:sz w:val="20"/>
          <w:szCs w:val="20"/>
        </w:rPr>
      </w:pPr>
      <w:r>
        <w:rPr>
          <w:rFonts w:ascii="Helvetica" w:hAnsi="Helvetica"/>
          <w:color w:val="682804"/>
          <w:sz w:val="20"/>
          <w:szCs w:val="20"/>
        </w:rPr>
        <w:t xml:space="preserve">Las posibilidades estarán reducidas </w:t>
      </w:r>
      <w:r w:rsidR="006A19E2">
        <w:rPr>
          <w:rFonts w:ascii="Helvetica" w:hAnsi="Helvetica"/>
          <w:color w:val="682804"/>
          <w:sz w:val="20"/>
          <w:szCs w:val="20"/>
        </w:rPr>
        <w:t xml:space="preserve">a las inversiones más prioritarias y </w:t>
      </w:r>
      <w:r>
        <w:rPr>
          <w:rFonts w:ascii="Helvetica" w:hAnsi="Helvetica"/>
          <w:color w:val="682804"/>
          <w:sz w:val="20"/>
          <w:szCs w:val="20"/>
        </w:rPr>
        <w:t xml:space="preserve">al </w:t>
      </w:r>
      <w:r w:rsidR="00DB624F">
        <w:rPr>
          <w:rFonts w:ascii="Helvetica" w:hAnsi="Helvetica"/>
          <w:color w:val="682804"/>
          <w:sz w:val="20"/>
          <w:szCs w:val="20"/>
        </w:rPr>
        <w:t>mantenimiento o reposición de</w:t>
      </w:r>
      <w:r>
        <w:rPr>
          <w:rFonts w:ascii="Helvetica" w:hAnsi="Helvetica"/>
          <w:color w:val="682804"/>
          <w:sz w:val="20"/>
          <w:szCs w:val="20"/>
        </w:rPr>
        <w:t xml:space="preserve"> infraestructura y equipamiento. Y deberán ejercer mayor control contra la corrupción</w:t>
      </w:r>
      <w:r w:rsidR="000D47FF" w:rsidRPr="00A25C31">
        <w:rPr>
          <w:rFonts w:ascii="Helvetica" w:hAnsi="Helvetica"/>
          <w:color w:val="682804"/>
          <w:sz w:val="20"/>
          <w:szCs w:val="20"/>
        </w:rPr>
        <w:t xml:space="preserve">. </w:t>
      </w:r>
    </w:p>
    <w:p w14:paraId="576D94F8" w14:textId="56A2A084" w:rsidR="00DB70CC" w:rsidRPr="00A2031D" w:rsidRDefault="00B96CBB" w:rsidP="000E2C7C">
      <w:pPr>
        <w:spacing w:after="120" w:line="270" w:lineRule="atLeast"/>
        <w:jc w:val="both"/>
        <w:rPr>
          <w:rFonts w:ascii="DINPro" w:hAnsi="DINPro" w:cs="Times New Roman"/>
          <w:sz w:val="20"/>
          <w:szCs w:val="20"/>
          <w:lang w:eastAsia="es-ES_tradnl"/>
        </w:rPr>
      </w:pPr>
      <w:r w:rsidRPr="00A2031D">
        <w:rPr>
          <w:rFonts w:ascii="DINPro" w:hAnsi="DINPro" w:cs="Times New Roman"/>
          <w:sz w:val="20"/>
          <w:szCs w:val="20"/>
          <w:lang w:eastAsia="es-ES_tradnl"/>
        </w:rPr>
        <w:t>Priorizar y o</w:t>
      </w:r>
      <w:r w:rsidR="00DB70CC" w:rsidRPr="00A2031D">
        <w:rPr>
          <w:rFonts w:ascii="DINPro" w:hAnsi="DINPro" w:cs="Times New Roman"/>
          <w:sz w:val="20"/>
          <w:szCs w:val="20"/>
          <w:lang w:eastAsia="es-ES_tradnl"/>
        </w:rPr>
        <w:t xml:space="preserve">ptimizar 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>lo</w:t>
      </w:r>
      <w:r w:rsidR="00DB70CC" w:rsidRPr="00A2031D">
        <w:rPr>
          <w:rFonts w:ascii="DINPro" w:hAnsi="DINPro" w:cs="Times New Roman"/>
          <w:sz w:val="20"/>
          <w:szCs w:val="20"/>
          <w:lang w:eastAsia="es-ES_tradnl"/>
        </w:rPr>
        <w:t xml:space="preserve">s recursos 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>de</w:t>
      </w:r>
      <w:r w:rsidR="00DB70CC" w:rsidRPr="00A2031D">
        <w:rPr>
          <w:rFonts w:ascii="DINPro" w:hAnsi="DINPro" w:cs="Times New Roman"/>
          <w:sz w:val="20"/>
          <w:szCs w:val="20"/>
          <w:lang w:eastAsia="es-ES_tradnl"/>
        </w:rPr>
        <w:t xml:space="preserve"> inversión pública será la orientación que las próximas autoridades de gobiernos departamentales y municipales tendrán que asumir en su gestión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 para contribuir a la reactivación de las economías </w:t>
      </w:r>
      <w:r w:rsidR="005E405C" w:rsidRPr="00A2031D">
        <w:rPr>
          <w:rFonts w:ascii="DINPro" w:hAnsi="DINPro" w:cs="Times New Roman"/>
          <w:sz w:val="20"/>
          <w:szCs w:val="20"/>
          <w:lang w:eastAsia="es-ES_tradnl"/>
        </w:rPr>
        <w:t xml:space="preserve">regionales y 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>locales</w:t>
      </w:r>
      <w:r w:rsidR="005E405C" w:rsidRPr="00A2031D">
        <w:rPr>
          <w:rFonts w:ascii="DINPro" w:hAnsi="DINPro" w:cs="Times New Roman"/>
          <w:sz w:val="20"/>
          <w:szCs w:val="20"/>
          <w:lang w:eastAsia="es-ES_tradnl"/>
        </w:rPr>
        <w:t>,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 y para atender las demandas de atención sanitaria.</w:t>
      </w:r>
    </w:p>
    <w:p w14:paraId="0A695319" w14:textId="388D98A1" w:rsidR="0061365F" w:rsidRPr="00A2031D" w:rsidRDefault="0061365F" w:rsidP="000E2C7C">
      <w:pPr>
        <w:spacing w:after="120" w:line="270" w:lineRule="atLeast"/>
        <w:jc w:val="both"/>
        <w:rPr>
          <w:rFonts w:ascii="DINPro" w:hAnsi="DINPro" w:cs="Times New Roman"/>
          <w:sz w:val="20"/>
          <w:szCs w:val="20"/>
          <w:lang w:eastAsia="es-ES_tradnl"/>
        </w:rPr>
      </w:pPr>
      <w:r w:rsidRPr="00A2031D">
        <w:rPr>
          <w:rFonts w:ascii="DINPro" w:hAnsi="DINPro" w:cs="Times New Roman"/>
          <w:sz w:val="20"/>
          <w:szCs w:val="20"/>
          <w:lang w:eastAsia="es-ES_tradnl"/>
        </w:rPr>
        <w:t>L</w:t>
      </w:r>
      <w:r w:rsidR="005E405C" w:rsidRPr="00A2031D">
        <w:rPr>
          <w:rFonts w:ascii="DINPro" w:hAnsi="DINPro" w:cs="Times New Roman"/>
          <w:sz w:val="20"/>
          <w:szCs w:val="20"/>
          <w:lang w:eastAsia="es-ES_tradnl"/>
        </w:rPr>
        <w:t>os montos destinados a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 inversión pública</w:t>
      </w:r>
      <w:r w:rsidR="005E405C" w:rsidRPr="00A2031D">
        <w:rPr>
          <w:rFonts w:ascii="DINPro" w:hAnsi="DINPro" w:cs="Times New Roman"/>
          <w:sz w:val="20"/>
          <w:szCs w:val="20"/>
          <w:lang w:eastAsia="es-ES_tradnl"/>
        </w:rPr>
        <w:t xml:space="preserve"> 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>se ha</w:t>
      </w:r>
      <w:r w:rsidR="00E32D91" w:rsidRPr="00A2031D">
        <w:rPr>
          <w:rFonts w:ascii="DINPro" w:hAnsi="DINPro" w:cs="Times New Roman"/>
          <w:sz w:val="20"/>
          <w:szCs w:val="20"/>
          <w:lang w:eastAsia="es-ES_tradnl"/>
        </w:rPr>
        <w:t>n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 reducido </w:t>
      </w:r>
      <w:r w:rsidR="00E32D91" w:rsidRPr="00A2031D">
        <w:rPr>
          <w:rFonts w:ascii="DINPro" w:hAnsi="DINPro" w:cs="Times New Roman"/>
          <w:sz w:val="20"/>
          <w:szCs w:val="20"/>
          <w:lang w:eastAsia="es-ES_tradnl"/>
        </w:rPr>
        <w:t>considerablemente. Los datos analizados por Fundación Jubileo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>,</w:t>
      </w:r>
      <w:r w:rsidR="00E32D91" w:rsidRPr="00A2031D">
        <w:rPr>
          <w:rFonts w:ascii="DINPro" w:hAnsi="DINPro" w:cs="Times New Roman"/>
          <w:sz w:val="20"/>
          <w:szCs w:val="20"/>
          <w:lang w:eastAsia="es-ES_tradnl"/>
        </w:rPr>
        <w:t xml:space="preserve"> con base en información del Ministerio de Economía, reflejan que las gobernaciones redujeron 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>el monto de</w:t>
      </w:r>
      <w:r w:rsidR="006A19E2">
        <w:rPr>
          <w:rFonts w:ascii="DINPro" w:hAnsi="DINPro" w:cs="Times New Roman"/>
          <w:sz w:val="20"/>
          <w:szCs w:val="20"/>
          <w:lang w:eastAsia="es-ES_tradnl"/>
        </w:rPr>
        <w:t>l gasto de capital</w:t>
      </w:r>
      <w:r w:rsidR="00E32D91" w:rsidRPr="00A2031D">
        <w:rPr>
          <w:rFonts w:ascii="DINPro" w:hAnsi="DINPro" w:cs="Times New Roman"/>
          <w:sz w:val="20"/>
          <w:szCs w:val="20"/>
          <w:lang w:eastAsia="es-ES_tradnl"/>
        </w:rPr>
        <w:t xml:space="preserve"> en 47% y los municipios en 44%, entre el periodo 2014 a 2019.</w:t>
      </w:r>
    </w:p>
    <w:p w14:paraId="15B1F4EF" w14:textId="160DECCA" w:rsidR="0061365F" w:rsidRPr="00A2031D" w:rsidRDefault="00E32D91" w:rsidP="000E2C7C">
      <w:pPr>
        <w:spacing w:after="120" w:line="270" w:lineRule="atLeast"/>
        <w:jc w:val="both"/>
        <w:rPr>
          <w:rFonts w:ascii="DINPro" w:hAnsi="DINPro" w:cs="Times New Roman"/>
          <w:sz w:val="20"/>
          <w:szCs w:val="20"/>
          <w:lang w:eastAsia="es-ES_tradnl"/>
        </w:rPr>
      </w:pP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El 2014, las gobernaciones </w:t>
      </w:r>
      <w:r w:rsidR="009854DB">
        <w:rPr>
          <w:rFonts w:ascii="DINPro" w:hAnsi="DINPro" w:cs="Times New Roman"/>
          <w:sz w:val="20"/>
          <w:szCs w:val="20"/>
          <w:lang w:eastAsia="es-ES_tradnl"/>
        </w:rPr>
        <w:t>destinaron a gastos de capital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 7.751 millones de bolivianos, cifra que cayó a 4.129 millones para la gestión 2019. </w:t>
      </w:r>
      <w:r w:rsidR="00E46A40" w:rsidRPr="00A2031D">
        <w:rPr>
          <w:rFonts w:ascii="DINPro" w:hAnsi="DINPro" w:cs="Times New Roman"/>
          <w:sz w:val="20"/>
          <w:szCs w:val="20"/>
          <w:lang w:eastAsia="es-ES_tradnl"/>
        </w:rPr>
        <w:t xml:space="preserve">En el caso de los municipios, esta </w:t>
      </w:r>
      <w:r w:rsidR="002B48EC">
        <w:rPr>
          <w:rFonts w:ascii="DINPro" w:hAnsi="DINPro" w:cs="Times New Roman"/>
          <w:sz w:val="20"/>
          <w:szCs w:val="20"/>
          <w:lang w:eastAsia="es-ES_tradnl"/>
        </w:rPr>
        <w:t>reducción</w:t>
      </w:r>
      <w:r w:rsidR="00E46A40" w:rsidRPr="00A2031D">
        <w:rPr>
          <w:rFonts w:ascii="DINPro" w:hAnsi="DINPro" w:cs="Times New Roman"/>
          <w:sz w:val="20"/>
          <w:szCs w:val="20"/>
          <w:lang w:eastAsia="es-ES_tradnl"/>
        </w:rPr>
        <w:t xml:space="preserve"> fue de 18.1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>04</w:t>
      </w:r>
      <w:r w:rsidR="00E46A40" w:rsidRPr="00A2031D">
        <w:rPr>
          <w:rFonts w:ascii="DINPro" w:hAnsi="DINPro" w:cs="Times New Roman"/>
          <w:sz w:val="20"/>
          <w:szCs w:val="20"/>
          <w:lang w:eastAsia="es-ES_tradnl"/>
        </w:rPr>
        <w:t xml:space="preserve"> millones de bolivianos</w:t>
      </w:r>
      <w:r w:rsidR="00A2031D">
        <w:rPr>
          <w:rFonts w:ascii="DINPro" w:hAnsi="DINPro" w:cs="Times New Roman"/>
          <w:sz w:val="20"/>
          <w:szCs w:val="20"/>
          <w:lang w:eastAsia="es-ES_tradnl"/>
        </w:rPr>
        <w:t xml:space="preserve"> </w:t>
      </w:r>
      <w:r w:rsidR="00E46A40" w:rsidRPr="00A2031D">
        <w:rPr>
          <w:rFonts w:ascii="DINPro" w:hAnsi="DINPro" w:cs="Times New Roman"/>
          <w:sz w:val="20"/>
          <w:szCs w:val="20"/>
          <w:lang w:eastAsia="es-ES_tradnl"/>
        </w:rPr>
        <w:t xml:space="preserve">a 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>10.195 millones</w:t>
      </w:r>
      <w:r w:rsidR="00A2031D">
        <w:rPr>
          <w:rFonts w:ascii="DINPro" w:hAnsi="DINPro" w:cs="Times New Roman"/>
          <w:sz w:val="20"/>
          <w:szCs w:val="20"/>
          <w:lang w:eastAsia="es-ES_tradnl"/>
        </w:rPr>
        <w:t>, en el mismo periodo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>.</w:t>
      </w:r>
    </w:p>
    <w:p w14:paraId="51F60FC7" w14:textId="12273CA8" w:rsidR="00D81BA8" w:rsidRPr="00A2031D" w:rsidRDefault="007A3B66" w:rsidP="00A41356">
      <w:pPr>
        <w:spacing w:after="120" w:line="270" w:lineRule="atLeast"/>
        <w:jc w:val="both"/>
        <w:rPr>
          <w:rFonts w:ascii="DINPro" w:hAnsi="DINPro" w:cs="Times New Roman"/>
          <w:sz w:val="20"/>
          <w:szCs w:val="20"/>
          <w:lang w:eastAsia="es-ES_tradnl"/>
        </w:rPr>
      </w:pPr>
      <w:r>
        <w:rPr>
          <w:rFonts w:ascii="DINPro" w:hAnsi="DINPro" w:cs="Times New Roman"/>
          <w:noProof/>
          <w:sz w:val="20"/>
          <w:szCs w:val="20"/>
          <w:lang w:eastAsia="es-ES_tradnl"/>
        </w:rPr>
        <w:drawing>
          <wp:anchor distT="0" distB="0" distL="114300" distR="114300" simplePos="0" relativeHeight="251658240" behindDoc="0" locked="0" layoutInCell="1" allowOverlap="1" wp14:anchorId="6AD1E9D6" wp14:editId="0CD86E82">
            <wp:simplePos x="0" y="0"/>
            <wp:positionH relativeFrom="margin">
              <wp:posOffset>2012315</wp:posOffset>
            </wp:positionH>
            <wp:positionV relativeFrom="margin">
              <wp:posOffset>3803015</wp:posOffset>
            </wp:positionV>
            <wp:extent cx="3846195" cy="2510790"/>
            <wp:effectExtent l="0" t="0" r="0" b="3810"/>
            <wp:wrapSquare wrapText="bothSides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a de pantalla 2021-02-17 a las 13.11.55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6195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356" w:rsidRPr="000E2C7C">
        <w:rPr>
          <w:rFonts w:ascii="DINPro" w:hAnsi="DINPro" w:cs="Times New Roman"/>
          <w:sz w:val="20"/>
          <w:szCs w:val="20"/>
          <w:lang w:eastAsia="es-ES_tradnl"/>
        </w:rPr>
        <w:t xml:space="preserve">Los datos </w:t>
      </w:r>
      <w:r w:rsidR="00A2031D">
        <w:rPr>
          <w:rFonts w:ascii="DINPro" w:hAnsi="DINPro" w:cs="Times New Roman"/>
          <w:sz w:val="20"/>
          <w:szCs w:val="20"/>
          <w:lang w:eastAsia="es-ES_tradnl"/>
        </w:rPr>
        <w:t xml:space="preserve">disponibles </w:t>
      </w:r>
      <w:r w:rsidR="00A41356" w:rsidRPr="000E2C7C">
        <w:rPr>
          <w:rFonts w:ascii="DINPro" w:hAnsi="DINPro" w:cs="Times New Roman"/>
          <w:sz w:val="20"/>
          <w:szCs w:val="20"/>
          <w:lang w:eastAsia="es-ES_tradnl"/>
        </w:rPr>
        <w:t xml:space="preserve">sobre gastos de capital aún no captan los efectos de la crisis del coronavirus; sin embargo, siendo que la tendencia del gasto e inversión de los gobiernos departamentales y municipales estaría determinada por la disponibilidad de recursos, se </w:t>
      </w:r>
      <w:r w:rsidR="00D81BA8" w:rsidRPr="00A2031D">
        <w:rPr>
          <w:rFonts w:ascii="DINPro" w:hAnsi="DINPro" w:cs="Times New Roman"/>
          <w:sz w:val="20"/>
          <w:szCs w:val="20"/>
          <w:lang w:eastAsia="es-ES_tradnl"/>
        </w:rPr>
        <w:t>estima que el 2020 las cifras han seguido en descenso.</w:t>
      </w:r>
    </w:p>
    <w:p w14:paraId="252A2670" w14:textId="3FE6693B" w:rsidR="00131E98" w:rsidRPr="000E2C7C" w:rsidRDefault="0041748B" w:rsidP="00131E98">
      <w:pPr>
        <w:spacing w:after="120" w:line="270" w:lineRule="atLeast"/>
        <w:jc w:val="both"/>
        <w:rPr>
          <w:rFonts w:ascii="DINPro" w:hAnsi="DINPro" w:cs="Times New Roman"/>
          <w:sz w:val="20"/>
          <w:szCs w:val="20"/>
          <w:lang w:eastAsia="es-ES_tradnl"/>
        </w:rPr>
      </w:pPr>
      <w:r w:rsidRPr="00A2031D">
        <w:rPr>
          <w:rFonts w:ascii="DINPro" w:hAnsi="DINPro" w:cs="Times New Roman"/>
          <w:sz w:val="20"/>
          <w:szCs w:val="20"/>
          <w:lang w:eastAsia="es-ES_tradnl"/>
        </w:rPr>
        <w:t>E</w:t>
      </w:r>
      <w:r w:rsidR="00D81BA8" w:rsidRPr="00A2031D">
        <w:rPr>
          <w:rFonts w:ascii="DINPro" w:hAnsi="DINPro" w:cs="Times New Roman"/>
          <w:sz w:val="20"/>
          <w:szCs w:val="20"/>
          <w:lang w:eastAsia="es-ES_tradnl"/>
        </w:rPr>
        <w:t>n</w:t>
      </w:r>
      <w:r w:rsidR="00A41356" w:rsidRPr="000E2C7C">
        <w:rPr>
          <w:rFonts w:ascii="DINPro" w:hAnsi="DINPro" w:cs="Times New Roman"/>
          <w:sz w:val="20"/>
          <w:szCs w:val="20"/>
          <w:lang w:eastAsia="es-ES_tradnl"/>
        </w:rPr>
        <w:t xml:space="preserve"> cada departamento y municipio la situación es distinta, 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sin embargo, en años anteriores </w:t>
      </w:r>
      <w:r w:rsidR="00131E98" w:rsidRPr="00A2031D">
        <w:rPr>
          <w:rFonts w:ascii="DINPro" w:hAnsi="DINPro" w:cs="Times New Roman"/>
          <w:sz w:val="20"/>
          <w:szCs w:val="20"/>
          <w:lang w:eastAsia="es-ES_tradnl"/>
        </w:rPr>
        <w:t>se realizaron inversiones significativas en infraestructura y equipamiento en diversos sectores; pero</w:t>
      </w:r>
      <w:r w:rsidR="001A5C68">
        <w:rPr>
          <w:rFonts w:ascii="DINPro" w:hAnsi="DINPro" w:cs="Times New Roman"/>
          <w:sz w:val="20"/>
          <w:szCs w:val="20"/>
          <w:lang w:eastAsia="es-ES_tradnl"/>
        </w:rPr>
        <w:t>,</w:t>
      </w:r>
      <w:bookmarkStart w:id="0" w:name="_GoBack"/>
      <w:bookmarkEnd w:id="0"/>
      <w:r w:rsidR="00131E98" w:rsidRPr="00A2031D">
        <w:rPr>
          <w:rFonts w:ascii="DINPro" w:hAnsi="DINPro" w:cs="Times New Roman"/>
          <w:sz w:val="20"/>
          <w:szCs w:val="20"/>
          <w:lang w:eastAsia="es-ES_tradnl"/>
        </w:rPr>
        <w:t xml:space="preserve"> </w:t>
      </w:r>
      <w:r w:rsidR="00131E98" w:rsidRPr="000E2C7C">
        <w:rPr>
          <w:rFonts w:ascii="DINPro" w:hAnsi="DINPro" w:cs="Times New Roman"/>
          <w:sz w:val="20"/>
          <w:szCs w:val="20"/>
          <w:lang w:eastAsia="es-ES_tradnl"/>
        </w:rPr>
        <w:t>con las limitaciones de ingresos que se tienen y prevén en los siguientes</w:t>
      </w:r>
      <w:r w:rsidR="00A2031D">
        <w:rPr>
          <w:rFonts w:ascii="DINPro" w:hAnsi="DINPro" w:cs="Times New Roman"/>
          <w:sz w:val="20"/>
          <w:szCs w:val="20"/>
          <w:lang w:eastAsia="es-ES_tradnl"/>
        </w:rPr>
        <w:t xml:space="preserve"> </w:t>
      </w:r>
      <w:r w:rsidR="00A2031D" w:rsidRPr="000E2C7C">
        <w:rPr>
          <w:rFonts w:ascii="DINPro" w:hAnsi="DINPro" w:cs="Times New Roman"/>
          <w:sz w:val="20"/>
          <w:szCs w:val="20"/>
          <w:lang w:eastAsia="es-ES_tradnl"/>
        </w:rPr>
        <w:t>años</w:t>
      </w:r>
      <w:r w:rsidR="00131E98" w:rsidRPr="000E2C7C">
        <w:rPr>
          <w:rFonts w:ascii="DINPro" w:hAnsi="DINPro" w:cs="Times New Roman"/>
          <w:sz w:val="20"/>
          <w:szCs w:val="20"/>
          <w:lang w:eastAsia="es-ES_tradnl"/>
        </w:rPr>
        <w:t xml:space="preserve">, </w:t>
      </w:r>
      <w:r w:rsidR="00131E98" w:rsidRPr="00A2031D">
        <w:rPr>
          <w:rFonts w:ascii="DINPro" w:hAnsi="DINPro" w:cs="Times New Roman"/>
          <w:sz w:val="20"/>
          <w:szCs w:val="20"/>
          <w:lang w:eastAsia="es-ES_tradnl"/>
        </w:rPr>
        <w:t xml:space="preserve">es poco probable que </w:t>
      </w:r>
      <w:r w:rsidR="00A2031D">
        <w:rPr>
          <w:rFonts w:ascii="DINPro" w:hAnsi="DINPro" w:cs="Times New Roman"/>
          <w:sz w:val="20"/>
          <w:szCs w:val="20"/>
          <w:lang w:eastAsia="es-ES_tradnl"/>
        </w:rPr>
        <w:t>se registren</w:t>
      </w:r>
      <w:r w:rsidR="00131E98" w:rsidRPr="00A2031D">
        <w:rPr>
          <w:rFonts w:ascii="DINPro" w:hAnsi="DINPro" w:cs="Times New Roman"/>
          <w:sz w:val="20"/>
          <w:szCs w:val="20"/>
          <w:lang w:eastAsia="es-ES_tradnl"/>
        </w:rPr>
        <w:t xml:space="preserve"> </w:t>
      </w:r>
      <w:r w:rsidR="00131E98" w:rsidRPr="000E2C7C">
        <w:rPr>
          <w:rFonts w:ascii="DINPro" w:hAnsi="DINPro" w:cs="Times New Roman"/>
          <w:sz w:val="20"/>
          <w:szCs w:val="20"/>
          <w:lang w:eastAsia="es-ES_tradnl"/>
        </w:rPr>
        <w:t>incrementos considerables de la inversión. En la práctica, las posibilidades est</w:t>
      </w:r>
      <w:r w:rsidR="00131E98" w:rsidRPr="00A2031D">
        <w:rPr>
          <w:rFonts w:ascii="DINPro" w:hAnsi="DINPro" w:cs="Times New Roman"/>
          <w:sz w:val="20"/>
          <w:szCs w:val="20"/>
          <w:lang w:eastAsia="es-ES_tradnl"/>
        </w:rPr>
        <w:t>arían</w:t>
      </w:r>
      <w:r w:rsidR="00131E98" w:rsidRPr="000E2C7C">
        <w:rPr>
          <w:rFonts w:ascii="DINPro" w:hAnsi="DINPro" w:cs="Times New Roman"/>
          <w:sz w:val="20"/>
          <w:szCs w:val="20"/>
          <w:lang w:eastAsia="es-ES_tradnl"/>
        </w:rPr>
        <w:t xml:space="preserve"> reducidas al mantenimiento o reposició</w:t>
      </w:r>
      <w:r w:rsidR="00131E98" w:rsidRPr="00A2031D">
        <w:rPr>
          <w:rFonts w:ascii="DINPro" w:hAnsi="DINPro" w:cs="Times New Roman"/>
          <w:sz w:val="20"/>
          <w:szCs w:val="20"/>
          <w:lang w:eastAsia="es-ES_tradnl"/>
        </w:rPr>
        <w:t>n de las inversiones anteriores</w:t>
      </w:r>
      <w:r w:rsidR="00131E98" w:rsidRPr="000E2C7C">
        <w:rPr>
          <w:rFonts w:ascii="DINPro" w:hAnsi="DINPro" w:cs="Times New Roman"/>
          <w:sz w:val="20"/>
          <w:szCs w:val="20"/>
          <w:lang w:eastAsia="es-ES_tradnl"/>
        </w:rPr>
        <w:t xml:space="preserve"> y </w:t>
      </w:r>
      <w:r w:rsidR="00131E98" w:rsidRPr="00A2031D">
        <w:rPr>
          <w:rFonts w:ascii="DINPro" w:hAnsi="DINPro" w:cs="Times New Roman"/>
          <w:sz w:val="20"/>
          <w:szCs w:val="20"/>
          <w:lang w:eastAsia="es-ES_tradnl"/>
        </w:rPr>
        <w:t xml:space="preserve">a </w:t>
      </w:r>
      <w:r w:rsidR="00131E98" w:rsidRPr="000E2C7C">
        <w:rPr>
          <w:rFonts w:ascii="DINPro" w:hAnsi="DINPro" w:cs="Times New Roman"/>
          <w:sz w:val="20"/>
          <w:szCs w:val="20"/>
          <w:lang w:eastAsia="es-ES_tradnl"/>
        </w:rPr>
        <w:t>los proyectos que sean indispensables para cada región.</w:t>
      </w:r>
    </w:p>
    <w:p w14:paraId="01869134" w14:textId="7FAC83D9" w:rsidR="00131E98" w:rsidRPr="00A2031D" w:rsidRDefault="00131E98" w:rsidP="00131E98">
      <w:pPr>
        <w:spacing w:after="120" w:line="270" w:lineRule="atLeast"/>
        <w:jc w:val="both"/>
        <w:rPr>
          <w:rFonts w:ascii="DINPro" w:hAnsi="DINPro" w:cs="Times New Roman"/>
          <w:sz w:val="20"/>
          <w:szCs w:val="20"/>
          <w:lang w:eastAsia="es-ES_tradnl"/>
        </w:rPr>
      </w:pPr>
      <w:r w:rsidRPr="00A2031D">
        <w:rPr>
          <w:rFonts w:ascii="DINPro" w:hAnsi="DINPro"/>
          <w:sz w:val="20"/>
          <w:szCs w:val="20"/>
        </w:rPr>
        <w:t>En consideración a que l</w:t>
      </w:r>
      <w:r w:rsidR="00C37EE6">
        <w:rPr>
          <w:rFonts w:ascii="DINPro" w:hAnsi="DINPro" w:cs="Times New Roman"/>
          <w:sz w:val="20"/>
          <w:szCs w:val="20"/>
          <w:lang w:eastAsia="es-ES_tradnl"/>
        </w:rPr>
        <w:t>a inversión,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 xml:space="preserve"> </w:t>
      </w:r>
      <w:r w:rsidR="00F2767A">
        <w:rPr>
          <w:rFonts w:ascii="DINPro" w:hAnsi="DINPro" w:cs="Times New Roman"/>
          <w:sz w:val="20"/>
          <w:szCs w:val="20"/>
          <w:lang w:eastAsia="es-ES_tradnl"/>
        </w:rPr>
        <w:t xml:space="preserve">tanto 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 xml:space="preserve">pública </w:t>
      </w:r>
      <w:r w:rsidR="00F2767A">
        <w:rPr>
          <w:rFonts w:ascii="DINPro" w:hAnsi="DINPro" w:cs="Times New Roman"/>
          <w:sz w:val="20"/>
          <w:szCs w:val="20"/>
          <w:lang w:eastAsia="es-ES_tradnl"/>
        </w:rPr>
        <w:t>como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 xml:space="preserve"> privada, es un determinante del crecimiento económico y el desarrollo de una región, la situación descrita conlleva la necesidad 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lastRenderedPageBreak/>
        <w:t xml:space="preserve">de priorizar </w:t>
      </w:r>
      <w:r w:rsidRPr="00A2031D">
        <w:rPr>
          <w:rFonts w:ascii="DINPro" w:hAnsi="DINPro"/>
          <w:sz w:val="20"/>
          <w:szCs w:val="20"/>
        </w:rPr>
        <w:t xml:space="preserve">y evaluar la calidad de 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>las inversiones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, en 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>procura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 de</w:t>
      </w:r>
      <w:r w:rsidR="00A41356" w:rsidRPr="00A2031D">
        <w:rPr>
          <w:rFonts w:ascii="DINPro" w:hAnsi="DINPro" w:cs="Times New Roman"/>
          <w:sz w:val="20"/>
          <w:szCs w:val="20"/>
          <w:lang w:eastAsia="es-ES_tradnl"/>
        </w:rPr>
        <w:t xml:space="preserve"> lograr la mayor rentabilidad económica o social. </w:t>
      </w:r>
    </w:p>
    <w:p w14:paraId="264B37C9" w14:textId="13B77EC2" w:rsidR="000E2C7C" w:rsidRPr="000E2C7C" w:rsidRDefault="000E2C7C" w:rsidP="00131E98">
      <w:pPr>
        <w:spacing w:after="120" w:line="270" w:lineRule="atLeast"/>
        <w:jc w:val="both"/>
        <w:rPr>
          <w:rFonts w:ascii="Akzidenz-Grotesk BQ" w:hAnsi="Akzidenz-Grotesk BQ" w:cs="Times New Roman"/>
          <w:sz w:val="20"/>
          <w:szCs w:val="20"/>
          <w:lang w:eastAsia="es-ES_tradnl"/>
        </w:rPr>
      </w:pPr>
      <w:r w:rsidRPr="000E2C7C">
        <w:rPr>
          <w:rFonts w:ascii="DINPro" w:hAnsi="DINPro" w:cs="Times New Roman"/>
          <w:sz w:val="20"/>
          <w:szCs w:val="20"/>
          <w:lang w:eastAsia="es-ES_tradnl"/>
        </w:rPr>
        <w:t>De acuerdo con la Ley Marco de Autonomías, las funciones que preferentemente deben cumplir las autonomías departamentales son impulsar el desarrollo económico, productivo y social; y para la autonomía municipal, impulsar el desarrollo económico local, humano y desarrollo urbano, a través de la prestación de servicios públicos a la población, así como coadyuvar al desarrollo rural.</w:t>
      </w:r>
    </w:p>
    <w:p w14:paraId="39DA824F" w14:textId="4558F5E3" w:rsidR="003961F9" w:rsidRPr="00A2031D" w:rsidRDefault="000E2C7C" w:rsidP="000E2C7C">
      <w:pPr>
        <w:spacing w:after="120" w:line="270" w:lineRule="atLeast"/>
        <w:jc w:val="both"/>
        <w:rPr>
          <w:rFonts w:ascii="DINPro" w:hAnsi="DINPro" w:cs="Times New Roman"/>
          <w:sz w:val="20"/>
          <w:szCs w:val="20"/>
          <w:lang w:eastAsia="es-ES_tradnl"/>
        </w:rPr>
      </w:pPr>
      <w:r w:rsidRPr="000E2C7C">
        <w:rPr>
          <w:rFonts w:ascii="DINPro" w:hAnsi="DINPro" w:cs="Times New Roman"/>
          <w:sz w:val="20"/>
          <w:szCs w:val="20"/>
          <w:lang w:eastAsia="es-ES_tradnl"/>
        </w:rPr>
        <w:t>Por otro lado, conforme a los límites de gasto de funcionamiento establecidos para municipios y gobernaciones, la principal atribución de estas entidades es la inversión pública.</w:t>
      </w:r>
      <w:r w:rsidR="003961F9" w:rsidRPr="00A2031D">
        <w:rPr>
          <w:rFonts w:ascii="DINPro" w:hAnsi="DINPro" w:cs="Times New Roman"/>
          <w:sz w:val="20"/>
          <w:szCs w:val="20"/>
          <w:lang w:eastAsia="es-ES_tradnl"/>
        </w:rPr>
        <w:t xml:space="preserve"> </w:t>
      </w:r>
      <w:r w:rsidRPr="000E2C7C">
        <w:rPr>
          <w:rFonts w:ascii="DINPro" w:hAnsi="DINPro" w:cs="Times New Roman"/>
          <w:sz w:val="20"/>
          <w:szCs w:val="20"/>
          <w:lang w:eastAsia="es-ES_tradnl"/>
        </w:rPr>
        <w:t>Bajo este marco, las gobernaciones deben asignar sus recursos, principalmente a inversión, en sus diferentes competencias, como electrificación rural, desarrollo agropecuario (riego y otros), caminos interprovinciales, hospitales de 3er nivel, recursos hídricos</w:t>
      </w:r>
      <w:r w:rsidR="00C37EE6">
        <w:rPr>
          <w:rFonts w:ascii="DINPro" w:hAnsi="DINPro" w:cs="Times New Roman"/>
          <w:sz w:val="20"/>
          <w:szCs w:val="20"/>
          <w:lang w:eastAsia="es-ES_tradnl"/>
        </w:rPr>
        <w:t xml:space="preserve"> y otros</w:t>
      </w:r>
      <w:r w:rsidRPr="000E2C7C">
        <w:rPr>
          <w:rFonts w:ascii="DINPro" w:hAnsi="DINPro" w:cs="Times New Roman"/>
          <w:sz w:val="20"/>
          <w:szCs w:val="20"/>
          <w:lang w:eastAsia="es-ES_tradnl"/>
        </w:rPr>
        <w:t xml:space="preserve">. </w:t>
      </w:r>
    </w:p>
    <w:p w14:paraId="7B125E4D" w14:textId="5003E130" w:rsidR="000E2C7C" w:rsidRPr="000E2C7C" w:rsidRDefault="003961F9" w:rsidP="000E2C7C">
      <w:pPr>
        <w:spacing w:after="120" w:line="270" w:lineRule="atLeast"/>
        <w:jc w:val="both"/>
        <w:rPr>
          <w:rFonts w:ascii="DINPro" w:hAnsi="DINPro" w:cs="Times New Roman"/>
          <w:sz w:val="20"/>
          <w:szCs w:val="20"/>
          <w:lang w:eastAsia="es-ES_tradnl"/>
        </w:rPr>
      </w:pPr>
      <w:r w:rsidRPr="00A2031D">
        <w:rPr>
          <w:rFonts w:ascii="DINPro" w:hAnsi="DINPro" w:cs="Times New Roman"/>
          <w:sz w:val="20"/>
          <w:szCs w:val="20"/>
          <w:lang w:eastAsia="es-ES_tradnl"/>
        </w:rPr>
        <w:t>A</w:t>
      </w:r>
      <w:r w:rsidR="000E2C7C" w:rsidRPr="000E2C7C">
        <w:rPr>
          <w:rFonts w:ascii="DINPro" w:hAnsi="DINPro" w:cs="Times New Roman"/>
          <w:sz w:val="20"/>
          <w:szCs w:val="20"/>
          <w:lang w:eastAsia="es-ES_tradnl"/>
        </w:rPr>
        <w:t xml:space="preserve"> los municipios </w:t>
      </w:r>
      <w:r w:rsidRPr="00A2031D">
        <w:rPr>
          <w:rFonts w:ascii="DINPro" w:hAnsi="DINPro" w:cs="Times New Roman"/>
          <w:sz w:val="20"/>
          <w:szCs w:val="20"/>
          <w:lang w:eastAsia="es-ES_tradnl"/>
        </w:rPr>
        <w:t xml:space="preserve">les corresponde </w:t>
      </w:r>
      <w:r w:rsidR="000E2C7C" w:rsidRPr="000E2C7C">
        <w:rPr>
          <w:rFonts w:ascii="DINPro" w:hAnsi="DINPro" w:cs="Times New Roman"/>
          <w:sz w:val="20"/>
          <w:szCs w:val="20"/>
          <w:lang w:eastAsia="es-ES_tradnl"/>
        </w:rPr>
        <w:t>la construcción de escuelas, establecimientos de 1er y 2do nivel de salud, saneamiento básico, infraestructura urbana y rural, desarrollo económico local y caminos vecinales, entre otros.</w:t>
      </w:r>
    </w:p>
    <w:p w14:paraId="2BCB2970" w14:textId="1681DFF2" w:rsidR="00A2031D" w:rsidRDefault="003961F9" w:rsidP="00A2031D">
      <w:pPr>
        <w:spacing w:after="120" w:line="270" w:lineRule="atLeast"/>
        <w:jc w:val="both"/>
        <w:rPr>
          <w:rFonts w:ascii="DINPro" w:hAnsi="DINPro"/>
          <w:sz w:val="20"/>
          <w:szCs w:val="20"/>
        </w:rPr>
      </w:pPr>
      <w:r w:rsidRPr="00A2031D">
        <w:rPr>
          <w:rFonts w:ascii="DINPro" w:hAnsi="DINPro"/>
          <w:sz w:val="20"/>
          <w:szCs w:val="20"/>
        </w:rPr>
        <w:t>Debido a</w:t>
      </w:r>
      <w:r w:rsidR="00097B3A" w:rsidRPr="00A2031D">
        <w:rPr>
          <w:rFonts w:ascii="DINPro" w:hAnsi="DINPro"/>
          <w:sz w:val="20"/>
          <w:szCs w:val="20"/>
        </w:rPr>
        <w:t xml:space="preserve"> la limitación de recursos, </w:t>
      </w:r>
      <w:r w:rsidR="00C37EE6">
        <w:rPr>
          <w:rFonts w:ascii="DINPro" w:hAnsi="DINPro"/>
          <w:sz w:val="20"/>
          <w:szCs w:val="20"/>
        </w:rPr>
        <w:t xml:space="preserve">las gestiones de gobernadores y alcaldes </w:t>
      </w:r>
      <w:r w:rsidR="00A2031D">
        <w:rPr>
          <w:rFonts w:ascii="DINPro" w:hAnsi="DINPro"/>
          <w:sz w:val="20"/>
          <w:szCs w:val="20"/>
        </w:rPr>
        <w:t>no sólo deberán velar por la mayor calidad de la inversión, si</w:t>
      </w:r>
      <w:r w:rsidR="00F2767A">
        <w:rPr>
          <w:rFonts w:ascii="DINPro" w:hAnsi="DINPro"/>
          <w:sz w:val="20"/>
          <w:szCs w:val="20"/>
        </w:rPr>
        <w:t>no también por un uso y destino</w:t>
      </w:r>
      <w:r w:rsidR="00A2031D">
        <w:rPr>
          <w:rFonts w:ascii="DINPro" w:hAnsi="DINPro"/>
          <w:sz w:val="20"/>
          <w:szCs w:val="20"/>
        </w:rPr>
        <w:t xml:space="preserve"> eficientes y transparentes, lo que implica ejercer mayor control contra la corrupción.</w:t>
      </w:r>
    </w:p>
    <w:p w14:paraId="4C447DFE" w14:textId="7AA25F66" w:rsidR="00A2031D" w:rsidRPr="00A2031D" w:rsidRDefault="00A2031D" w:rsidP="00C31E51">
      <w:pPr>
        <w:pStyle w:val="p1"/>
        <w:rPr>
          <w:rFonts w:ascii="DINPro" w:hAnsi="DINPro"/>
          <w:color w:val="auto"/>
          <w:sz w:val="20"/>
          <w:szCs w:val="20"/>
        </w:rPr>
      </w:pPr>
      <w:r>
        <w:rPr>
          <w:rFonts w:ascii="DINPro" w:hAnsi="DINPro"/>
          <w:color w:val="auto"/>
          <w:sz w:val="20"/>
          <w:szCs w:val="20"/>
        </w:rPr>
        <w:t xml:space="preserve">Consecuentemente, </w:t>
      </w:r>
      <w:r w:rsidR="003961F9" w:rsidRPr="00A2031D">
        <w:rPr>
          <w:rFonts w:ascii="DINPro" w:hAnsi="DINPro"/>
          <w:color w:val="auto"/>
          <w:sz w:val="20"/>
          <w:szCs w:val="20"/>
        </w:rPr>
        <w:t>l</w:t>
      </w:r>
      <w:r w:rsidR="003961F9" w:rsidRPr="00A2031D">
        <w:rPr>
          <w:rFonts w:ascii="DINPro" w:hAnsi="DINPro"/>
          <w:color w:val="auto"/>
          <w:sz w:val="20"/>
          <w:szCs w:val="20"/>
        </w:rPr>
        <w:t>os candidatos y candidatas debieran responder preocupaciones centrales para el futuro de las regiones y municipios, por ejemplo:</w:t>
      </w:r>
      <w:r w:rsidR="003961F9" w:rsidRPr="00A2031D">
        <w:rPr>
          <w:rFonts w:ascii="DINPro" w:hAnsi="DINPro"/>
          <w:color w:val="auto"/>
          <w:sz w:val="20"/>
          <w:szCs w:val="20"/>
        </w:rPr>
        <w:t xml:space="preserve"> </w:t>
      </w:r>
    </w:p>
    <w:p w14:paraId="3348865D" w14:textId="5EEA5B14" w:rsidR="00C31E51" w:rsidRPr="00A2031D" w:rsidRDefault="003961F9" w:rsidP="00A2031D">
      <w:pPr>
        <w:pStyle w:val="p1"/>
        <w:ind w:left="567" w:right="1127"/>
        <w:jc w:val="both"/>
        <w:rPr>
          <w:rFonts w:ascii="DINPro" w:hAnsi="DINPro"/>
          <w:i/>
          <w:color w:val="auto"/>
          <w:sz w:val="20"/>
          <w:szCs w:val="20"/>
        </w:rPr>
      </w:pPr>
      <w:r w:rsidRPr="00A2031D">
        <w:rPr>
          <w:rFonts w:ascii="DINPro" w:hAnsi="DINPro"/>
          <w:i/>
          <w:color w:val="auto"/>
          <w:sz w:val="20"/>
          <w:szCs w:val="20"/>
        </w:rPr>
        <w:t>¿Q</w:t>
      </w:r>
      <w:r w:rsidR="00097B3A" w:rsidRPr="00A2031D">
        <w:rPr>
          <w:rFonts w:ascii="DINPro" w:hAnsi="DINPro"/>
          <w:i/>
          <w:color w:val="auto"/>
          <w:sz w:val="20"/>
          <w:szCs w:val="20"/>
        </w:rPr>
        <w:t>ué tipo de inversiones va</w:t>
      </w:r>
      <w:r w:rsidRPr="00A2031D">
        <w:rPr>
          <w:rFonts w:ascii="DINPro" w:hAnsi="DINPro"/>
          <w:i/>
          <w:color w:val="auto"/>
          <w:sz w:val="20"/>
          <w:szCs w:val="20"/>
        </w:rPr>
        <w:t>n</w:t>
      </w:r>
      <w:r w:rsidR="00097B3A" w:rsidRPr="00A2031D">
        <w:rPr>
          <w:rFonts w:ascii="DINPro" w:hAnsi="DINPro"/>
          <w:i/>
          <w:color w:val="auto"/>
          <w:sz w:val="20"/>
          <w:szCs w:val="20"/>
        </w:rPr>
        <w:t xml:space="preserve"> a priorizar y en qué sectores?</w:t>
      </w:r>
    </w:p>
    <w:p w14:paraId="7E7F048F" w14:textId="5FB4EB8D" w:rsidR="00C31E51" w:rsidRPr="00A2031D" w:rsidRDefault="00097B3A" w:rsidP="00A2031D">
      <w:pPr>
        <w:pStyle w:val="p1"/>
        <w:ind w:left="567" w:right="1127"/>
        <w:jc w:val="both"/>
        <w:rPr>
          <w:rFonts w:ascii="DINPro" w:hAnsi="DINPro"/>
          <w:i/>
          <w:color w:val="auto"/>
          <w:sz w:val="20"/>
          <w:szCs w:val="20"/>
        </w:rPr>
      </w:pPr>
      <w:r w:rsidRPr="00097B3A">
        <w:rPr>
          <w:rFonts w:ascii="DINPro" w:hAnsi="DINPro"/>
          <w:i/>
          <w:color w:val="auto"/>
          <w:sz w:val="20"/>
          <w:szCs w:val="20"/>
        </w:rPr>
        <w:t>¿Qué mecanismos o prácticas propone</w:t>
      </w:r>
      <w:r w:rsidR="003961F9" w:rsidRPr="00A2031D">
        <w:rPr>
          <w:rFonts w:ascii="DINPro" w:hAnsi="DINPro"/>
          <w:i/>
          <w:color w:val="auto"/>
          <w:sz w:val="20"/>
          <w:szCs w:val="20"/>
        </w:rPr>
        <w:t>n</w:t>
      </w:r>
      <w:r w:rsidRPr="00097B3A">
        <w:rPr>
          <w:rFonts w:ascii="DINPro" w:hAnsi="DINPro"/>
          <w:i/>
          <w:color w:val="auto"/>
          <w:sz w:val="20"/>
          <w:szCs w:val="20"/>
        </w:rPr>
        <w:t xml:space="preserve"> para asegurar la eficiencia y calidad de las inversiones?</w:t>
      </w:r>
    </w:p>
    <w:p w14:paraId="13BBAF33" w14:textId="1719B98C" w:rsidR="00097B3A" w:rsidRPr="00097B3A" w:rsidRDefault="00097B3A" w:rsidP="00A2031D">
      <w:pPr>
        <w:pStyle w:val="p1"/>
        <w:ind w:left="567" w:right="1127"/>
        <w:jc w:val="both"/>
        <w:rPr>
          <w:rFonts w:ascii="DINPro" w:hAnsi="DINPro"/>
          <w:i/>
          <w:color w:val="auto"/>
          <w:sz w:val="20"/>
          <w:szCs w:val="20"/>
        </w:rPr>
      </w:pPr>
      <w:r w:rsidRPr="00097B3A">
        <w:rPr>
          <w:rFonts w:ascii="DINPro" w:hAnsi="DINPro"/>
          <w:i/>
          <w:color w:val="auto"/>
          <w:sz w:val="20"/>
          <w:szCs w:val="20"/>
        </w:rPr>
        <w:t>Considerando que los ámbitos de inversión en</w:t>
      </w:r>
      <w:r w:rsidR="003961F9" w:rsidRPr="00A2031D">
        <w:rPr>
          <w:rFonts w:ascii="DINPro" w:hAnsi="DINPro"/>
          <w:i/>
          <w:color w:val="auto"/>
          <w:sz w:val="20"/>
          <w:szCs w:val="20"/>
        </w:rPr>
        <w:t xml:space="preserve"> infraestructura y equipamiento</w:t>
      </w:r>
      <w:r w:rsidRPr="00097B3A">
        <w:rPr>
          <w:rFonts w:ascii="DINPro" w:hAnsi="DINPro"/>
          <w:i/>
          <w:color w:val="auto"/>
          <w:sz w:val="20"/>
          <w:szCs w:val="20"/>
        </w:rPr>
        <w:t xml:space="preserve"> son susceptibles a hechos de corrupción, ¿qué mecanismos o medidas asumirá</w:t>
      </w:r>
      <w:r w:rsidR="00F44803">
        <w:rPr>
          <w:rFonts w:ascii="DINPro" w:hAnsi="DINPro"/>
          <w:i/>
          <w:color w:val="auto"/>
          <w:sz w:val="20"/>
          <w:szCs w:val="20"/>
        </w:rPr>
        <w:t>n</w:t>
      </w:r>
      <w:r w:rsidRPr="00097B3A">
        <w:rPr>
          <w:rFonts w:ascii="DINPro" w:hAnsi="DINPro"/>
          <w:i/>
          <w:color w:val="auto"/>
          <w:sz w:val="20"/>
          <w:szCs w:val="20"/>
        </w:rPr>
        <w:t xml:space="preserve"> para asegurar un correcto y transparente proceso de contratación?</w:t>
      </w:r>
    </w:p>
    <w:p w14:paraId="7564FD7B" w14:textId="77777777" w:rsidR="000E2C7C" w:rsidRPr="000E2C7C" w:rsidRDefault="000E2C7C" w:rsidP="000E2C7C">
      <w:pPr>
        <w:spacing w:after="120" w:line="270" w:lineRule="atLeast"/>
        <w:jc w:val="both"/>
        <w:rPr>
          <w:rFonts w:ascii="DINPro" w:hAnsi="DINPro" w:cs="Times New Roman"/>
          <w:sz w:val="18"/>
          <w:szCs w:val="18"/>
          <w:lang w:eastAsia="es-ES_tradnl"/>
        </w:rPr>
      </w:pPr>
    </w:p>
    <w:p w14:paraId="34C941CA" w14:textId="3BE952F4" w:rsidR="00990701" w:rsidRPr="00990701" w:rsidRDefault="00021843" w:rsidP="00021843">
      <w:pPr>
        <w:spacing w:after="120" w:line="240" w:lineRule="atLeast"/>
        <w:rPr>
          <w:rFonts w:ascii="Helvetica" w:hAnsi="Helvetica" w:cs="Times New Roman"/>
          <w:i/>
          <w:sz w:val="16"/>
          <w:szCs w:val="16"/>
          <w:lang w:eastAsia="es-ES_tradnl"/>
        </w:rPr>
      </w:pPr>
      <w:r>
        <w:rPr>
          <w:rFonts w:ascii="Helvetica" w:hAnsi="Helvetica" w:cs="Times New Roman"/>
          <w:i/>
          <w:sz w:val="16"/>
          <w:szCs w:val="16"/>
          <w:lang w:eastAsia="es-ES_tradnl"/>
        </w:rPr>
        <w:br/>
        <w:t xml:space="preserve">Serie: </w:t>
      </w:r>
      <w:r>
        <w:rPr>
          <w:rFonts w:ascii="Helvetica" w:hAnsi="Helvetica" w:cs="Times New Roman"/>
          <w:i/>
          <w:sz w:val="16"/>
          <w:szCs w:val="16"/>
          <w:lang w:eastAsia="es-ES_tradnl"/>
        </w:rPr>
        <w:br/>
        <w:t>10 temas clave para la gestión de gobernaciones y municipios</w:t>
      </w:r>
      <w:r>
        <w:rPr>
          <w:rFonts w:ascii="Helvetica" w:hAnsi="Helvetica" w:cs="Times New Roman"/>
          <w:i/>
          <w:sz w:val="16"/>
          <w:szCs w:val="16"/>
          <w:lang w:eastAsia="es-ES_tradnl"/>
        </w:rPr>
        <w:br/>
      </w:r>
      <w:proofErr w:type="gramStart"/>
      <w:r>
        <w:rPr>
          <w:rFonts w:ascii="Helvetica" w:hAnsi="Helvetica" w:cs="Times New Roman"/>
          <w:i/>
          <w:sz w:val="16"/>
          <w:szCs w:val="16"/>
          <w:lang w:eastAsia="es-ES_tradnl"/>
        </w:rPr>
        <w:t>F</w:t>
      </w:r>
      <w:r w:rsidRPr="00990701">
        <w:rPr>
          <w:rFonts w:ascii="Helvetica" w:hAnsi="Helvetica" w:cs="Times New Roman"/>
          <w:i/>
          <w:sz w:val="16"/>
          <w:szCs w:val="16"/>
          <w:lang w:eastAsia="es-ES_tradnl"/>
        </w:rPr>
        <w:t>ebrero</w:t>
      </w:r>
      <w:proofErr w:type="gramEnd"/>
      <w:r w:rsidRPr="00990701">
        <w:rPr>
          <w:rFonts w:ascii="Helvetica" w:hAnsi="Helvetica" w:cs="Times New Roman"/>
          <w:i/>
          <w:sz w:val="16"/>
          <w:szCs w:val="16"/>
          <w:lang w:eastAsia="es-ES_tradnl"/>
        </w:rPr>
        <w:t xml:space="preserve"> 2021</w:t>
      </w:r>
    </w:p>
    <w:sectPr w:rsidR="00990701" w:rsidRPr="00990701" w:rsidSect="00A25C31">
      <w:headerReference w:type="default" r:id="rId9"/>
      <w:footerReference w:type="default" r:id="rId10"/>
      <w:pgSz w:w="11900" w:h="16840"/>
      <w:pgMar w:top="913" w:right="1701" w:bottom="137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B4B14A" w14:textId="77777777" w:rsidR="00CE52D6" w:rsidRDefault="00CE52D6" w:rsidP="00F05DBF">
      <w:r>
        <w:separator/>
      </w:r>
    </w:p>
  </w:endnote>
  <w:endnote w:type="continuationSeparator" w:id="0">
    <w:p w14:paraId="7BB5E07A" w14:textId="77777777" w:rsidR="00CE52D6" w:rsidRDefault="00CE52D6" w:rsidP="00F0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kzidenz-Grotesk BQ">
    <w:charset w:val="00"/>
    <w:family w:val="auto"/>
    <w:pitch w:val="variable"/>
    <w:sig w:usb0="8000002F" w:usb1="0000000A" w:usb2="00000000" w:usb3="00000000" w:csb0="00000111" w:csb1="00000000"/>
  </w:font>
  <w:font w:name="Abel">
    <w:panose1 w:val="020005060300000200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DINPro">
    <w:panose1 w:val="02000503030000020004"/>
    <w:charset w:val="00"/>
    <w:family w:val="auto"/>
    <w:pitch w:val="variable"/>
    <w:sig w:usb0="800002AF" w:usb1="4000206A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3781A7" w14:textId="77777777" w:rsidR="00F05DBF" w:rsidRDefault="00F05DBF" w:rsidP="00F05DBF">
    <w:pPr>
      <w:pStyle w:val="Piedepgina"/>
      <w:ind w:left="-1701"/>
    </w:pPr>
    <w:r>
      <w:rPr>
        <w:noProof/>
        <w:lang w:eastAsia="es-ES_tradnl"/>
      </w:rPr>
      <w:drawing>
        <wp:inline distT="0" distB="0" distL="0" distR="0" wp14:anchorId="3B94B60A" wp14:editId="53187154">
          <wp:extent cx="7595057" cy="659130"/>
          <wp:effectExtent l="0" t="0" r="0" b="127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lantilla nota de prensa E 202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294"/>
                  <a:stretch/>
                </pic:blipFill>
                <pic:spPr bwMode="auto">
                  <a:xfrm>
                    <a:off x="0" y="0"/>
                    <a:ext cx="7665624" cy="66525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935187" w14:textId="77777777" w:rsidR="00CE52D6" w:rsidRDefault="00CE52D6" w:rsidP="00F05DBF">
      <w:r>
        <w:separator/>
      </w:r>
    </w:p>
  </w:footnote>
  <w:footnote w:type="continuationSeparator" w:id="0">
    <w:p w14:paraId="22E277F8" w14:textId="77777777" w:rsidR="00CE52D6" w:rsidRDefault="00CE52D6" w:rsidP="00F05DB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7B737" w14:textId="77777777" w:rsidR="00F05DBF" w:rsidRDefault="00F05DBF" w:rsidP="00F05DBF">
    <w:pPr>
      <w:pStyle w:val="Encabezado"/>
      <w:ind w:left="-1701"/>
    </w:pPr>
    <w:r>
      <w:rPr>
        <w:noProof/>
        <w:lang w:eastAsia="es-ES_tradnl"/>
      </w:rPr>
      <w:drawing>
        <wp:inline distT="0" distB="0" distL="0" distR="0" wp14:anchorId="066D8392" wp14:editId="325D2D04">
          <wp:extent cx="7594600" cy="1790700"/>
          <wp:effectExtent l="0" t="0" r="0" b="1270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lantilla nota de prensa E 202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2564"/>
                  <a:stretch/>
                </pic:blipFill>
                <pic:spPr bwMode="auto">
                  <a:xfrm>
                    <a:off x="0" y="0"/>
                    <a:ext cx="7595059" cy="179080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4D42F5"/>
    <w:multiLevelType w:val="hybridMultilevel"/>
    <w:tmpl w:val="5B24E472"/>
    <w:lvl w:ilvl="0" w:tplc="AB2429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90890"/>
    <w:multiLevelType w:val="hybridMultilevel"/>
    <w:tmpl w:val="AC966D6E"/>
    <w:lvl w:ilvl="0" w:tplc="B15ED7F0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1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DBF"/>
    <w:rsid w:val="00021843"/>
    <w:rsid w:val="000400EB"/>
    <w:rsid w:val="00097B3A"/>
    <w:rsid w:val="000B7AAB"/>
    <w:rsid w:val="000D47FF"/>
    <w:rsid w:val="000E2C7C"/>
    <w:rsid w:val="00126F51"/>
    <w:rsid w:val="00131E98"/>
    <w:rsid w:val="001A5C68"/>
    <w:rsid w:val="002A5543"/>
    <w:rsid w:val="002B48EC"/>
    <w:rsid w:val="00327598"/>
    <w:rsid w:val="003961F9"/>
    <w:rsid w:val="003D2B3D"/>
    <w:rsid w:val="0041748B"/>
    <w:rsid w:val="00462D7E"/>
    <w:rsid w:val="00535EED"/>
    <w:rsid w:val="005B601C"/>
    <w:rsid w:val="005E405C"/>
    <w:rsid w:val="005F6A1F"/>
    <w:rsid w:val="0061365F"/>
    <w:rsid w:val="0064182F"/>
    <w:rsid w:val="00645D0B"/>
    <w:rsid w:val="006773A2"/>
    <w:rsid w:val="00683EF4"/>
    <w:rsid w:val="006A19E2"/>
    <w:rsid w:val="006F71B0"/>
    <w:rsid w:val="00745FF5"/>
    <w:rsid w:val="007A3B66"/>
    <w:rsid w:val="00813E05"/>
    <w:rsid w:val="00813E68"/>
    <w:rsid w:val="008429D0"/>
    <w:rsid w:val="00855E2F"/>
    <w:rsid w:val="008965DA"/>
    <w:rsid w:val="008B0169"/>
    <w:rsid w:val="008B027A"/>
    <w:rsid w:val="009854DB"/>
    <w:rsid w:val="00990701"/>
    <w:rsid w:val="009D1BBE"/>
    <w:rsid w:val="00A2031D"/>
    <w:rsid w:val="00A25C31"/>
    <w:rsid w:val="00A41356"/>
    <w:rsid w:val="00A565AC"/>
    <w:rsid w:val="00AB75A3"/>
    <w:rsid w:val="00B3271F"/>
    <w:rsid w:val="00B35258"/>
    <w:rsid w:val="00B96CBB"/>
    <w:rsid w:val="00BE231A"/>
    <w:rsid w:val="00C16800"/>
    <w:rsid w:val="00C31E51"/>
    <w:rsid w:val="00C34C7B"/>
    <w:rsid w:val="00C37EE6"/>
    <w:rsid w:val="00C45F98"/>
    <w:rsid w:val="00C5434B"/>
    <w:rsid w:val="00CD64C6"/>
    <w:rsid w:val="00CE52D6"/>
    <w:rsid w:val="00CF3778"/>
    <w:rsid w:val="00D663C0"/>
    <w:rsid w:val="00D81BA8"/>
    <w:rsid w:val="00DB624F"/>
    <w:rsid w:val="00DB70CC"/>
    <w:rsid w:val="00DD01DF"/>
    <w:rsid w:val="00E1431E"/>
    <w:rsid w:val="00E3093C"/>
    <w:rsid w:val="00E32D91"/>
    <w:rsid w:val="00E377F6"/>
    <w:rsid w:val="00E46A40"/>
    <w:rsid w:val="00E74DD6"/>
    <w:rsid w:val="00E971EA"/>
    <w:rsid w:val="00EC4EFE"/>
    <w:rsid w:val="00EC5AC7"/>
    <w:rsid w:val="00F05DBF"/>
    <w:rsid w:val="00F268A5"/>
    <w:rsid w:val="00F2767A"/>
    <w:rsid w:val="00F44803"/>
    <w:rsid w:val="00F9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BC0793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D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5DBF"/>
  </w:style>
  <w:style w:type="paragraph" w:styleId="Piedepgina">
    <w:name w:val="footer"/>
    <w:basedOn w:val="Normal"/>
    <w:link w:val="PiedepginaCar"/>
    <w:uiPriority w:val="99"/>
    <w:unhideWhenUsed/>
    <w:rsid w:val="00F05D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5DBF"/>
  </w:style>
  <w:style w:type="paragraph" w:customStyle="1" w:styleId="p1">
    <w:name w:val="p1"/>
    <w:basedOn w:val="Normal"/>
    <w:rsid w:val="00F05DBF"/>
    <w:rPr>
      <w:rFonts w:ascii="Akzidenz-Grotesk BQ" w:hAnsi="Akzidenz-Grotesk BQ" w:cs="Times New Roman"/>
      <w:color w:val="000006"/>
      <w:sz w:val="30"/>
      <w:szCs w:val="30"/>
      <w:lang w:eastAsia="es-ES_tradnl"/>
    </w:rPr>
  </w:style>
  <w:style w:type="paragraph" w:customStyle="1" w:styleId="p2">
    <w:name w:val="p2"/>
    <w:basedOn w:val="Normal"/>
    <w:rsid w:val="00F05DBF"/>
    <w:pPr>
      <w:jc w:val="both"/>
    </w:pPr>
    <w:rPr>
      <w:rFonts w:ascii="Abel" w:hAnsi="Abel" w:cs="Times New Roman"/>
      <w:sz w:val="18"/>
      <w:szCs w:val="18"/>
      <w:lang w:eastAsia="es-ES_tradnl"/>
    </w:rPr>
  </w:style>
  <w:style w:type="character" w:customStyle="1" w:styleId="s1">
    <w:name w:val="s1"/>
    <w:basedOn w:val="Fuentedeprrafopredeter"/>
    <w:rsid w:val="00F05DBF"/>
  </w:style>
  <w:style w:type="character" w:customStyle="1" w:styleId="apple-converted-space">
    <w:name w:val="apple-converted-space"/>
    <w:basedOn w:val="Fuentedeprrafopredeter"/>
    <w:rsid w:val="00F05DBF"/>
  </w:style>
  <w:style w:type="paragraph" w:customStyle="1" w:styleId="p3">
    <w:name w:val="p3"/>
    <w:basedOn w:val="Normal"/>
    <w:rsid w:val="006773A2"/>
    <w:pPr>
      <w:spacing w:after="120"/>
      <w:jc w:val="both"/>
    </w:pPr>
    <w:rPr>
      <w:rFonts w:ascii="Calibri" w:hAnsi="Calibri" w:cs="Times New Roman"/>
      <w:sz w:val="17"/>
      <w:szCs w:val="17"/>
      <w:lang w:eastAsia="es-ES_tradnl"/>
    </w:rPr>
  </w:style>
  <w:style w:type="character" w:customStyle="1" w:styleId="apple-tab-span">
    <w:name w:val="apple-tab-span"/>
    <w:basedOn w:val="Fuentedeprrafopredeter"/>
    <w:rsid w:val="006773A2"/>
  </w:style>
  <w:style w:type="paragraph" w:styleId="Prrafodelista">
    <w:name w:val="List Paragraph"/>
    <w:basedOn w:val="Normal"/>
    <w:uiPriority w:val="34"/>
    <w:qFormat/>
    <w:rsid w:val="00DD01D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663C0"/>
    <w:pPr>
      <w:spacing w:before="100" w:beforeAutospacing="1" w:after="100" w:afterAutospacing="1"/>
    </w:pPr>
    <w:rPr>
      <w:rFonts w:ascii="Times New Roman" w:hAnsi="Times New Roman" w:cs="Times New Roman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2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pn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2</Pages>
  <Words>668</Words>
  <Characters>3679</Characters>
  <Application>Microsoft Macintosh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6</cp:revision>
  <dcterms:created xsi:type="dcterms:W3CDTF">2021-02-17T15:42:00Z</dcterms:created>
  <dcterms:modified xsi:type="dcterms:W3CDTF">2021-02-17T20:22:00Z</dcterms:modified>
</cp:coreProperties>
</file>