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9FB920" w14:textId="3DFCFC01" w:rsidR="009541DD" w:rsidRPr="009541DD" w:rsidRDefault="009541DD" w:rsidP="009541DD">
      <w:pPr>
        <w:autoSpaceDE w:val="0"/>
        <w:autoSpaceDN w:val="0"/>
        <w:adjustRightInd w:val="0"/>
        <w:jc w:val="center"/>
        <w:rPr>
          <w:rFonts w:ascii="Akzidenz-Grotesk BQ" w:hAnsi="Akzidenz-Grotesk BQ" w:cs="Times New Roman"/>
          <w:color w:val="682804"/>
          <w:sz w:val="30"/>
          <w:szCs w:val="30"/>
          <w:lang w:eastAsia="es-ES_tradnl"/>
        </w:rPr>
      </w:pPr>
      <w:r>
        <w:rPr>
          <w:rFonts w:ascii="Akzidenz-Grotesk BQ" w:hAnsi="Akzidenz-Grotesk BQ" w:cs="Times New Roman"/>
          <w:color w:val="682804"/>
          <w:sz w:val="30"/>
          <w:szCs w:val="30"/>
          <w:lang w:eastAsia="es-ES_tradnl"/>
        </w:rPr>
        <w:t>P</w:t>
      </w:r>
      <w:r w:rsidRPr="009541DD">
        <w:rPr>
          <w:rFonts w:ascii="Akzidenz-Grotesk BQ" w:hAnsi="Akzidenz-Grotesk BQ" w:cs="Times New Roman"/>
          <w:color w:val="682804"/>
          <w:sz w:val="30"/>
          <w:szCs w:val="30"/>
          <w:lang w:eastAsia="es-ES_tradnl"/>
        </w:rPr>
        <w:t>erfilar normativas de acceso a la información pública</w:t>
      </w:r>
      <w:r>
        <w:rPr>
          <w:rFonts w:ascii="Akzidenz-Grotesk BQ" w:hAnsi="Akzidenz-Grotesk BQ" w:cs="Times New Roman"/>
          <w:color w:val="682804"/>
          <w:sz w:val="30"/>
          <w:szCs w:val="30"/>
          <w:lang w:eastAsia="es-ES_tradnl"/>
        </w:rPr>
        <w:t xml:space="preserve"> </w:t>
      </w:r>
      <w:r>
        <w:rPr>
          <w:rFonts w:ascii="Akzidenz-Grotesk BQ" w:hAnsi="Akzidenz-Grotesk BQ" w:cs="Times New Roman"/>
          <w:color w:val="682804"/>
          <w:sz w:val="30"/>
          <w:szCs w:val="30"/>
          <w:lang w:eastAsia="es-ES_tradnl"/>
        </w:rPr>
        <w:br/>
        <w:t xml:space="preserve">es un desafío para </w:t>
      </w:r>
      <w:r w:rsidRPr="009541DD">
        <w:rPr>
          <w:rFonts w:ascii="Akzidenz-Grotesk BQ" w:hAnsi="Akzidenz-Grotesk BQ" w:cs="Times New Roman"/>
          <w:color w:val="682804"/>
          <w:sz w:val="30"/>
          <w:szCs w:val="30"/>
          <w:lang w:eastAsia="es-ES_tradnl"/>
        </w:rPr>
        <w:t>g</w:t>
      </w:r>
      <w:r>
        <w:rPr>
          <w:rFonts w:ascii="Akzidenz-Grotesk BQ" w:hAnsi="Akzidenz-Grotesk BQ" w:cs="Times New Roman"/>
          <w:color w:val="682804"/>
          <w:sz w:val="30"/>
          <w:szCs w:val="30"/>
          <w:lang w:eastAsia="es-ES_tradnl"/>
        </w:rPr>
        <w:t>obernaciones y municipios</w:t>
      </w:r>
    </w:p>
    <w:p w14:paraId="6A6F1643" w14:textId="77777777" w:rsidR="00E3093C" w:rsidRDefault="00F05DBF" w:rsidP="00C16800">
      <w:r w:rsidRPr="00F05DBF">
        <w:rPr>
          <w:noProof/>
          <w:lang w:eastAsia="es-ES_tradnl"/>
        </w:rPr>
        <w:drawing>
          <wp:inline distT="0" distB="0" distL="0" distR="0" wp14:anchorId="78A020DD" wp14:editId="043E0115">
            <wp:extent cx="5486597" cy="50336"/>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2772019" cy="117175"/>
                    </a:xfrm>
                    <a:prstGeom prst="rect">
                      <a:avLst/>
                    </a:prstGeom>
                  </pic:spPr>
                </pic:pic>
              </a:graphicData>
            </a:graphic>
          </wp:inline>
        </w:drawing>
      </w:r>
    </w:p>
    <w:p w14:paraId="4357D9DE" w14:textId="77777777" w:rsidR="00990701" w:rsidRPr="00DD01DF" w:rsidRDefault="00990701" w:rsidP="00C16800">
      <w:pPr>
        <w:rPr>
          <w:color w:val="385623" w:themeColor="accent6" w:themeShade="80"/>
        </w:rPr>
      </w:pPr>
    </w:p>
    <w:p w14:paraId="5FE87B90" w14:textId="77777777" w:rsidR="009541DD" w:rsidRPr="009541DD" w:rsidRDefault="009541DD" w:rsidP="009541DD">
      <w:pPr>
        <w:pStyle w:val="Prrafodelista"/>
        <w:numPr>
          <w:ilvl w:val="0"/>
          <w:numId w:val="4"/>
        </w:numPr>
        <w:autoSpaceDE w:val="0"/>
        <w:autoSpaceDN w:val="0"/>
        <w:adjustRightInd w:val="0"/>
        <w:jc w:val="both"/>
        <w:rPr>
          <w:rFonts w:ascii="Helvetica" w:hAnsi="Helvetica"/>
          <w:color w:val="682804"/>
          <w:sz w:val="20"/>
          <w:szCs w:val="20"/>
        </w:rPr>
      </w:pPr>
      <w:r w:rsidRPr="009541DD">
        <w:rPr>
          <w:rFonts w:ascii="Helvetica" w:hAnsi="Helvetica"/>
          <w:color w:val="682804"/>
          <w:sz w:val="20"/>
          <w:szCs w:val="20"/>
        </w:rPr>
        <w:t>Estudios demuestran poco acceso a la información pública</w:t>
      </w:r>
    </w:p>
    <w:p w14:paraId="61DD89FE" w14:textId="457FD986" w:rsidR="009541DD" w:rsidRPr="009541DD" w:rsidRDefault="009541DD" w:rsidP="009541DD">
      <w:pPr>
        <w:pStyle w:val="Prrafodelista"/>
        <w:numPr>
          <w:ilvl w:val="0"/>
          <w:numId w:val="4"/>
        </w:numPr>
        <w:autoSpaceDE w:val="0"/>
        <w:autoSpaceDN w:val="0"/>
        <w:adjustRightInd w:val="0"/>
        <w:jc w:val="both"/>
        <w:rPr>
          <w:rFonts w:ascii="Helvetica" w:hAnsi="Helvetica"/>
          <w:color w:val="682804"/>
          <w:sz w:val="20"/>
          <w:szCs w:val="20"/>
        </w:rPr>
      </w:pPr>
      <w:r w:rsidRPr="009541DD">
        <w:rPr>
          <w:rFonts w:ascii="Helvetica" w:hAnsi="Helvetica"/>
          <w:color w:val="682804"/>
          <w:sz w:val="20"/>
          <w:szCs w:val="20"/>
        </w:rPr>
        <w:t xml:space="preserve">Aunque municipios y gobernaciones cuentan con unidades de transparencia no cumplen con la normativa </w:t>
      </w:r>
    </w:p>
    <w:p w14:paraId="3DB5EA40" w14:textId="77777777" w:rsidR="009541DD" w:rsidRPr="00522BD1" w:rsidRDefault="009541DD" w:rsidP="009541DD">
      <w:pPr>
        <w:pStyle w:val="Prrafodelista"/>
        <w:autoSpaceDE w:val="0"/>
        <w:autoSpaceDN w:val="0"/>
        <w:adjustRightInd w:val="0"/>
        <w:jc w:val="both"/>
        <w:rPr>
          <w:rFonts w:ascii="MyriadPro-Regular" w:hAnsi="MyriadPro-Regular" w:cs="MyriadPro-Regular"/>
          <w:color w:val="3D3C3B"/>
        </w:rPr>
      </w:pPr>
    </w:p>
    <w:p w14:paraId="06E87484" w14:textId="77777777" w:rsidR="009541DD" w:rsidRPr="009541DD" w:rsidRDefault="009541DD" w:rsidP="009541DD">
      <w:pPr>
        <w:autoSpaceDE w:val="0"/>
        <w:autoSpaceDN w:val="0"/>
        <w:adjustRightInd w:val="0"/>
        <w:jc w:val="both"/>
        <w:rPr>
          <w:rFonts w:ascii="DINPro" w:hAnsi="DINPro"/>
          <w:sz w:val="20"/>
          <w:szCs w:val="20"/>
        </w:rPr>
      </w:pPr>
      <w:r w:rsidRPr="009541DD">
        <w:rPr>
          <w:rFonts w:ascii="DINPro" w:hAnsi="DINPro"/>
          <w:sz w:val="20"/>
          <w:szCs w:val="20"/>
        </w:rPr>
        <w:t xml:space="preserve">Con una clara voluntad política, los gobiernos municipales y departamentales debieran promover la aprobación de normativas efectivas de acceso a la información pública, cuyo incumplimiento esté sujeto a sanciones, concluye el documento de los </w:t>
      </w:r>
      <w:r w:rsidRPr="00352582">
        <w:rPr>
          <w:rFonts w:ascii="DINPro" w:hAnsi="DINPro"/>
          <w:i/>
          <w:sz w:val="20"/>
          <w:szCs w:val="20"/>
        </w:rPr>
        <w:t>10 temas clave para la gestión de gobernaciones y municipios, sobre transparencia, acceso a la información y rendición de cuentas</w:t>
      </w:r>
      <w:r w:rsidRPr="009541DD">
        <w:rPr>
          <w:rFonts w:ascii="DINPro" w:hAnsi="DINPro"/>
          <w:sz w:val="20"/>
          <w:szCs w:val="20"/>
        </w:rPr>
        <w:t>.</w:t>
      </w:r>
    </w:p>
    <w:p w14:paraId="1ECAA893" w14:textId="77777777" w:rsidR="009541DD" w:rsidRPr="009541DD" w:rsidRDefault="009541DD" w:rsidP="009541DD">
      <w:pPr>
        <w:autoSpaceDE w:val="0"/>
        <w:autoSpaceDN w:val="0"/>
        <w:adjustRightInd w:val="0"/>
        <w:jc w:val="both"/>
        <w:rPr>
          <w:rFonts w:ascii="DINPro" w:hAnsi="DINPro"/>
          <w:sz w:val="20"/>
          <w:szCs w:val="20"/>
        </w:rPr>
      </w:pPr>
    </w:p>
    <w:p w14:paraId="5FB1C0DA" w14:textId="77777777" w:rsidR="009541DD" w:rsidRPr="009541DD" w:rsidRDefault="009541DD" w:rsidP="009541DD">
      <w:pPr>
        <w:autoSpaceDE w:val="0"/>
        <w:autoSpaceDN w:val="0"/>
        <w:adjustRightInd w:val="0"/>
        <w:jc w:val="both"/>
        <w:rPr>
          <w:rFonts w:ascii="DINPro" w:hAnsi="DINPro"/>
          <w:sz w:val="20"/>
          <w:szCs w:val="20"/>
        </w:rPr>
      </w:pPr>
      <w:r w:rsidRPr="009541DD">
        <w:rPr>
          <w:rFonts w:ascii="DINPro" w:hAnsi="DINPro"/>
          <w:sz w:val="20"/>
          <w:szCs w:val="20"/>
        </w:rPr>
        <w:t>La transparencia en la gestión de gobernaciones y municipios se logra, idealmente, con la concurrencia de diversas líneas de acción, como la gestión financiera informada, la fiscalización del uso de recursos, el control social, además de la gestión política y de recursos humanos que se concretan en la rendición pública de cuentas y en espacios de concertación.</w:t>
      </w:r>
    </w:p>
    <w:p w14:paraId="414066E7" w14:textId="77777777" w:rsidR="009541DD" w:rsidRPr="009541DD" w:rsidRDefault="009541DD" w:rsidP="009541DD">
      <w:pPr>
        <w:autoSpaceDE w:val="0"/>
        <w:autoSpaceDN w:val="0"/>
        <w:adjustRightInd w:val="0"/>
        <w:jc w:val="both"/>
        <w:rPr>
          <w:rFonts w:ascii="DINPro" w:hAnsi="DINPro"/>
          <w:sz w:val="20"/>
          <w:szCs w:val="20"/>
        </w:rPr>
      </w:pPr>
    </w:p>
    <w:p w14:paraId="5EB8817C" w14:textId="77777777" w:rsidR="009541DD" w:rsidRPr="009541DD" w:rsidRDefault="009541DD" w:rsidP="009541DD">
      <w:pPr>
        <w:autoSpaceDE w:val="0"/>
        <w:autoSpaceDN w:val="0"/>
        <w:adjustRightInd w:val="0"/>
        <w:jc w:val="both"/>
        <w:rPr>
          <w:rFonts w:ascii="DINPro" w:hAnsi="DINPro"/>
          <w:sz w:val="20"/>
          <w:szCs w:val="20"/>
        </w:rPr>
      </w:pPr>
      <w:r w:rsidRPr="009541DD">
        <w:rPr>
          <w:rFonts w:ascii="DINPro" w:hAnsi="DINPro"/>
          <w:sz w:val="20"/>
          <w:szCs w:val="20"/>
        </w:rPr>
        <w:t xml:space="preserve">En los hechos, hay estudios que demuestran la poca transparencia en la gestión pública. Fundación Jubileo realizó un análisis sobre la </w:t>
      </w:r>
      <w:r w:rsidRPr="00253405">
        <w:rPr>
          <w:rFonts w:ascii="DINPro" w:hAnsi="DINPro"/>
          <w:i/>
          <w:sz w:val="20"/>
          <w:szCs w:val="20"/>
        </w:rPr>
        <w:t>Situación de la transparencia y acceso a la información en el sector hidrocarburos</w:t>
      </w:r>
      <w:r w:rsidRPr="009541DD">
        <w:rPr>
          <w:rFonts w:ascii="DINPro" w:hAnsi="DINPro"/>
          <w:sz w:val="20"/>
          <w:szCs w:val="20"/>
        </w:rPr>
        <w:t>, la indagación fue realizada con base en la revisión de los portales web de las gobernaciones y municipios, para evaluar el cumplimiento de la normativa relacionada con esta temática.</w:t>
      </w:r>
    </w:p>
    <w:p w14:paraId="674C5C85" w14:textId="77777777" w:rsidR="009541DD" w:rsidRPr="009541DD" w:rsidRDefault="009541DD" w:rsidP="009541DD">
      <w:pPr>
        <w:autoSpaceDE w:val="0"/>
        <w:autoSpaceDN w:val="0"/>
        <w:adjustRightInd w:val="0"/>
        <w:jc w:val="both"/>
        <w:rPr>
          <w:rFonts w:ascii="DINPro" w:hAnsi="DINPro"/>
          <w:sz w:val="20"/>
          <w:szCs w:val="20"/>
        </w:rPr>
      </w:pPr>
    </w:p>
    <w:p w14:paraId="7786386C" w14:textId="77777777" w:rsidR="009541DD" w:rsidRPr="009541DD" w:rsidRDefault="009541DD" w:rsidP="009541DD">
      <w:pPr>
        <w:autoSpaceDE w:val="0"/>
        <w:autoSpaceDN w:val="0"/>
        <w:adjustRightInd w:val="0"/>
        <w:jc w:val="both"/>
        <w:rPr>
          <w:rFonts w:ascii="DINPro" w:hAnsi="DINPro"/>
          <w:sz w:val="20"/>
          <w:szCs w:val="20"/>
        </w:rPr>
      </w:pPr>
      <w:r w:rsidRPr="009541DD">
        <w:rPr>
          <w:rFonts w:ascii="DINPro" w:hAnsi="DINPro"/>
          <w:sz w:val="20"/>
          <w:szCs w:val="20"/>
        </w:rPr>
        <w:t>Los resultados muestran que los gobiernos departamentales y municipales, aunque tienen unidades de transparencia, no cumplen con las disposiciones; las rendiciones públicas de cuentas no muestran la documentación completa; las herramientas de acceso a información en línea son prácticamente inexistentes, fueron retiradas o se encuentran desactualizadas.</w:t>
      </w:r>
    </w:p>
    <w:p w14:paraId="732F8CD4" w14:textId="77777777" w:rsidR="009541DD" w:rsidRPr="009541DD" w:rsidRDefault="009541DD" w:rsidP="009541DD">
      <w:pPr>
        <w:autoSpaceDE w:val="0"/>
        <w:autoSpaceDN w:val="0"/>
        <w:adjustRightInd w:val="0"/>
        <w:jc w:val="both"/>
        <w:rPr>
          <w:rFonts w:ascii="DINPro" w:hAnsi="DINPro"/>
          <w:sz w:val="20"/>
          <w:szCs w:val="20"/>
        </w:rPr>
      </w:pPr>
    </w:p>
    <w:p w14:paraId="023A9C20" w14:textId="77777777" w:rsidR="009541DD" w:rsidRPr="009541DD" w:rsidRDefault="009541DD" w:rsidP="009541DD">
      <w:pPr>
        <w:autoSpaceDE w:val="0"/>
        <w:autoSpaceDN w:val="0"/>
        <w:adjustRightInd w:val="0"/>
        <w:jc w:val="both"/>
        <w:rPr>
          <w:rFonts w:ascii="DINPro" w:hAnsi="DINPro"/>
          <w:sz w:val="20"/>
          <w:szCs w:val="20"/>
        </w:rPr>
      </w:pPr>
      <w:r w:rsidRPr="009541DD">
        <w:rPr>
          <w:rFonts w:ascii="DINPro" w:hAnsi="DINPro"/>
          <w:sz w:val="20"/>
          <w:szCs w:val="20"/>
        </w:rPr>
        <w:t>Por otra parte, la gestión de gobernaciones y municipios de Bolivia fue calificada a través del Índice de Apertura y Transparencia Municipal, realizado por la Red de Participación y Control Social, y del Índice de Transparencia de Gobernaciones, elaborado por el CEDLA. Los resultados develan que los gobiernos municipales con mejor situación desde la percepción de los ciudadanos son los denominados municipios intermedios y pequeños, y que las gobernaciones, en general, presentan un reducido nivel de transparencia.</w:t>
      </w:r>
    </w:p>
    <w:p w14:paraId="1D843BE3" w14:textId="77777777" w:rsidR="009541DD" w:rsidRPr="009541DD" w:rsidRDefault="009541DD" w:rsidP="009541DD">
      <w:pPr>
        <w:autoSpaceDE w:val="0"/>
        <w:autoSpaceDN w:val="0"/>
        <w:adjustRightInd w:val="0"/>
        <w:jc w:val="both"/>
        <w:rPr>
          <w:rFonts w:ascii="DINPro" w:hAnsi="DINPro"/>
          <w:sz w:val="20"/>
          <w:szCs w:val="20"/>
        </w:rPr>
      </w:pPr>
    </w:p>
    <w:p w14:paraId="74FA3926" w14:textId="626AB204" w:rsidR="009541DD" w:rsidRPr="009541DD" w:rsidRDefault="009541DD" w:rsidP="009541DD">
      <w:pPr>
        <w:autoSpaceDE w:val="0"/>
        <w:autoSpaceDN w:val="0"/>
        <w:adjustRightInd w:val="0"/>
        <w:jc w:val="both"/>
        <w:rPr>
          <w:rFonts w:ascii="DINPro" w:hAnsi="DINPro"/>
          <w:sz w:val="20"/>
          <w:szCs w:val="20"/>
        </w:rPr>
      </w:pPr>
      <w:r w:rsidRPr="009541DD">
        <w:rPr>
          <w:rFonts w:ascii="DINPro" w:hAnsi="DINPro"/>
          <w:sz w:val="20"/>
          <w:szCs w:val="20"/>
        </w:rPr>
        <w:t>Las instituciones públicas</w:t>
      </w:r>
      <w:r w:rsidR="00253405">
        <w:rPr>
          <w:rFonts w:ascii="DINPro" w:hAnsi="DINPro"/>
          <w:sz w:val="20"/>
          <w:szCs w:val="20"/>
        </w:rPr>
        <w:t>,</w:t>
      </w:r>
      <w:r w:rsidRPr="009541DD">
        <w:rPr>
          <w:rFonts w:ascii="DINPro" w:hAnsi="DINPro"/>
          <w:sz w:val="20"/>
          <w:szCs w:val="20"/>
        </w:rPr>
        <w:t xml:space="preserve"> por norma</w:t>
      </w:r>
      <w:r w:rsidR="00253405">
        <w:rPr>
          <w:rFonts w:ascii="DINPro" w:hAnsi="DINPro"/>
          <w:sz w:val="20"/>
          <w:szCs w:val="20"/>
        </w:rPr>
        <w:t>,</w:t>
      </w:r>
      <w:r w:rsidRPr="009541DD">
        <w:rPr>
          <w:rFonts w:ascii="DINPro" w:hAnsi="DINPro"/>
          <w:sz w:val="20"/>
          <w:szCs w:val="20"/>
        </w:rPr>
        <w:t xml:space="preserve"> deben realizar los actos de rendición pública de cuentas, con el objetivo de generar una participación ciudadana para ejercer el control y fiscalización de la cosa pública, pero no cumplen con su función porque la información es agregada.</w:t>
      </w:r>
    </w:p>
    <w:p w14:paraId="3E6F54CD" w14:textId="77777777" w:rsidR="009541DD" w:rsidRPr="009541DD" w:rsidRDefault="009541DD" w:rsidP="009541DD">
      <w:pPr>
        <w:autoSpaceDE w:val="0"/>
        <w:autoSpaceDN w:val="0"/>
        <w:adjustRightInd w:val="0"/>
        <w:jc w:val="both"/>
        <w:rPr>
          <w:rFonts w:ascii="DINPro" w:hAnsi="DINPro"/>
          <w:sz w:val="20"/>
          <w:szCs w:val="20"/>
        </w:rPr>
      </w:pPr>
    </w:p>
    <w:p w14:paraId="501508D3" w14:textId="77777777" w:rsidR="009541DD" w:rsidRPr="009541DD" w:rsidRDefault="009541DD" w:rsidP="009541DD">
      <w:pPr>
        <w:autoSpaceDE w:val="0"/>
        <w:autoSpaceDN w:val="0"/>
        <w:adjustRightInd w:val="0"/>
        <w:jc w:val="both"/>
        <w:rPr>
          <w:rFonts w:ascii="DINPro" w:hAnsi="DINPro"/>
          <w:sz w:val="20"/>
          <w:szCs w:val="20"/>
        </w:rPr>
      </w:pPr>
      <w:r w:rsidRPr="009541DD">
        <w:rPr>
          <w:rFonts w:ascii="DINPro" w:hAnsi="DINPro"/>
          <w:sz w:val="20"/>
          <w:szCs w:val="20"/>
        </w:rPr>
        <w:t>La participación de la ciudadanía en la definición de problemas y soluciones es posible en la medida en que las instituciones tengan la capacidad de informar sobre sus planes, programas y proyectos, contrataciones, informes financieros y toda la información pública; informar sobre el origen, la distribución, el uso y el destino de los recursos públicos; crear condiciones para poner en práctica los mecanismos de rendición pública de cuentas sobre las responsabilidades económicas, políticas, técnicas y administrativas de autoridades y servidores públicos.</w:t>
      </w:r>
    </w:p>
    <w:p w14:paraId="52006403" w14:textId="77777777" w:rsidR="009541DD" w:rsidRPr="009541DD" w:rsidRDefault="009541DD" w:rsidP="009541DD">
      <w:pPr>
        <w:autoSpaceDE w:val="0"/>
        <w:autoSpaceDN w:val="0"/>
        <w:adjustRightInd w:val="0"/>
        <w:rPr>
          <w:rFonts w:ascii="DINPro" w:hAnsi="DINPro"/>
          <w:sz w:val="20"/>
          <w:szCs w:val="20"/>
        </w:rPr>
      </w:pPr>
    </w:p>
    <w:p w14:paraId="0088DFE2" w14:textId="77777777" w:rsidR="009541DD" w:rsidRDefault="009541DD" w:rsidP="009541DD">
      <w:pPr>
        <w:autoSpaceDE w:val="0"/>
        <w:autoSpaceDN w:val="0"/>
        <w:adjustRightInd w:val="0"/>
        <w:ind w:left="567" w:right="560"/>
        <w:jc w:val="both"/>
        <w:rPr>
          <w:rFonts w:ascii="DINPro" w:hAnsi="DINPro"/>
          <w:sz w:val="20"/>
          <w:szCs w:val="20"/>
        </w:rPr>
      </w:pPr>
      <w:r w:rsidRPr="009541DD">
        <w:rPr>
          <w:rFonts w:ascii="DINPro" w:hAnsi="DINPro"/>
          <w:sz w:val="20"/>
          <w:szCs w:val="20"/>
        </w:rPr>
        <w:lastRenderedPageBreak/>
        <w:t>¿Qué medidas se proponen implementar para mejo</w:t>
      </w:r>
      <w:r w:rsidRPr="009541DD">
        <w:rPr>
          <w:rFonts w:ascii="DINPro" w:hAnsi="DINPro"/>
          <w:sz w:val="20"/>
          <w:szCs w:val="20"/>
        </w:rPr>
        <w:t xml:space="preserve">rar: </w:t>
      </w:r>
    </w:p>
    <w:p w14:paraId="7409AD5D" w14:textId="2C0EE59E" w:rsidR="009541DD" w:rsidRPr="009541DD" w:rsidRDefault="009541DD" w:rsidP="00933835">
      <w:pPr>
        <w:autoSpaceDE w:val="0"/>
        <w:autoSpaceDN w:val="0"/>
        <w:adjustRightInd w:val="0"/>
        <w:ind w:right="560" w:firstLine="567"/>
        <w:jc w:val="both"/>
        <w:rPr>
          <w:rFonts w:ascii="DINPro" w:hAnsi="DINPro"/>
          <w:sz w:val="20"/>
          <w:szCs w:val="20"/>
        </w:rPr>
      </w:pPr>
      <w:bookmarkStart w:id="0" w:name="_GoBack"/>
      <w:bookmarkEnd w:id="0"/>
      <w:r w:rsidRPr="009541DD">
        <w:rPr>
          <w:rFonts w:ascii="DINPro" w:hAnsi="DINPro"/>
          <w:sz w:val="20"/>
          <w:szCs w:val="20"/>
        </w:rPr>
        <w:t xml:space="preserve">a) la transparencia, b) el </w:t>
      </w:r>
      <w:r w:rsidRPr="009541DD">
        <w:rPr>
          <w:rFonts w:ascii="DINPro" w:hAnsi="DINPro"/>
          <w:sz w:val="20"/>
          <w:szCs w:val="20"/>
        </w:rPr>
        <w:t xml:space="preserve">acceso a información y c) la rendición de cuentas? </w:t>
      </w:r>
    </w:p>
    <w:p w14:paraId="324CC6AA" w14:textId="77777777" w:rsidR="009541DD" w:rsidRPr="009541DD" w:rsidRDefault="009541DD" w:rsidP="009541DD">
      <w:pPr>
        <w:autoSpaceDE w:val="0"/>
        <w:autoSpaceDN w:val="0"/>
        <w:adjustRightInd w:val="0"/>
        <w:ind w:left="567" w:right="560"/>
        <w:jc w:val="both"/>
        <w:rPr>
          <w:rFonts w:ascii="DINPro" w:hAnsi="DINPro"/>
          <w:sz w:val="20"/>
          <w:szCs w:val="20"/>
        </w:rPr>
      </w:pPr>
      <w:r w:rsidRPr="009541DD">
        <w:rPr>
          <w:rFonts w:ascii="DINPro" w:hAnsi="DINPro"/>
          <w:sz w:val="20"/>
          <w:szCs w:val="20"/>
        </w:rPr>
        <w:t>¿Qué mecanismos se proponen para promover el cumplimiento de la normativa a nivel departamental y municipal sobre transparencia y acceso a la información, y qué sanciones se implementarían ante incumplimientos en la publicación de información pública?</w:t>
      </w:r>
    </w:p>
    <w:p w14:paraId="466E4797" w14:textId="77777777" w:rsidR="009541DD" w:rsidRPr="009541DD" w:rsidRDefault="009541DD" w:rsidP="009541DD">
      <w:pPr>
        <w:autoSpaceDE w:val="0"/>
        <w:autoSpaceDN w:val="0"/>
        <w:adjustRightInd w:val="0"/>
        <w:ind w:left="567" w:right="560"/>
        <w:rPr>
          <w:rFonts w:ascii="DINPro" w:hAnsi="DINPro"/>
          <w:sz w:val="20"/>
          <w:szCs w:val="20"/>
        </w:rPr>
      </w:pPr>
      <w:r w:rsidRPr="009541DD">
        <w:rPr>
          <w:rFonts w:ascii="DINPro" w:hAnsi="DINPro"/>
          <w:sz w:val="20"/>
          <w:szCs w:val="20"/>
        </w:rPr>
        <w:t>¿Qué acciones preventivas y punitivas se aplicarían para luchar contra la corrupción?</w:t>
      </w:r>
    </w:p>
    <w:p w14:paraId="34C941CA" w14:textId="7DEC73CD" w:rsidR="00990701" w:rsidRPr="00990701" w:rsidRDefault="00021843" w:rsidP="00C94431">
      <w:pPr>
        <w:spacing w:after="120" w:line="240" w:lineRule="atLeast"/>
        <w:rPr>
          <w:rFonts w:ascii="Helvetica" w:hAnsi="Helvetica" w:cs="Times New Roman"/>
          <w:i/>
          <w:sz w:val="16"/>
          <w:szCs w:val="16"/>
          <w:lang w:eastAsia="es-ES_tradnl"/>
        </w:rPr>
      </w:pPr>
      <w:r>
        <w:rPr>
          <w:rFonts w:ascii="Helvetica" w:hAnsi="Helvetica" w:cs="Times New Roman"/>
          <w:i/>
          <w:sz w:val="16"/>
          <w:szCs w:val="16"/>
          <w:lang w:eastAsia="es-ES_tradnl"/>
        </w:rPr>
        <w:br/>
        <w:t xml:space="preserve">Serie: </w:t>
      </w:r>
      <w:r>
        <w:rPr>
          <w:rFonts w:ascii="Helvetica" w:hAnsi="Helvetica" w:cs="Times New Roman"/>
          <w:i/>
          <w:sz w:val="16"/>
          <w:szCs w:val="16"/>
          <w:lang w:eastAsia="es-ES_tradnl"/>
        </w:rPr>
        <w:br/>
        <w:t>10 temas clave para la gestión de gobernaciones y municipios</w:t>
      </w:r>
      <w:r>
        <w:rPr>
          <w:rFonts w:ascii="Helvetica" w:hAnsi="Helvetica" w:cs="Times New Roman"/>
          <w:i/>
          <w:sz w:val="16"/>
          <w:szCs w:val="16"/>
          <w:lang w:eastAsia="es-ES_tradnl"/>
        </w:rPr>
        <w:br/>
        <w:t>F</w:t>
      </w:r>
      <w:r w:rsidRPr="00990701">
        <w:rPr>
          <w:rFonts w:ascii="Helvetica" w:hAnsi="Helvetica" w:cs="Times New Roman"/>
          <w:i/>
          <w:sz w:val="16"/>
          <w:szCs w:val="16"/>
          <w:lang w:eastAsia="es-ES_tradnl"/>
        </w:rPr>
        <w:t>ebrero 2021</w:t>
      </w:r>
    </w:p>
    <w:sectPr w:rsidR="00990701" w:rsidRPr="00990701" w:rsidSect="00A25C31">
      <w:headerReference w:type="default" r:id="rId8"/>
      <w:footerReference w:type="default" r:id="rId9"/>
      <w:pgSz w:w="11900" w:h="16840"/>
      <w:pgMar w:top="913" w:right="1701" w:bottom="1378" w:left="1701" w:header="0" w:footer="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E04034" w14:textId="77777777" w:rsidR="00470909" w:rsidRDefault="00470909" w:rsidP="00F05DBF">
      <w:r>
        <w:separator/>
      </w:r>
    </w:p>
  </w:endnote>
  <w:endnote w:type="continuationSeparator" w:id="0">
    <w:p w14:paraId="500797F2" w14:textId="77777777" w:rsidR="00470909" w:rsidRDefault="00470909" w:rsidP="00F05D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yriadPro-Regular">
    <w:charset w:val="00"/>
    <w:family w:val="auto"/>
    <w:pitch w:val="variable"/>
    <w:sig w:usb0="A00002AF" w:usb1="5000204B" w:usb2="00000000" w:usb3="00000000" w:csb0="0000009F" w:csb1="00000000"/>
  </w:font>
  <w:font w:name="Akzidenz-Grotesk BQ">
    <w:charset w:val="00"/>
    <w:family w:val="auto"/>
    <w:pitch w:val="variable"/>
    <w:sig w:usb0="8000002F" w:usb1="0000000A" w:usb2="00000000" w:usb3="00000000" w:csb0="00000111" w:csb1="00000000"/>
  </w:font>
  <w:font w:name="Abel">
    <w:panose1 w:val="02000506030000020004"/>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DINPro">
    <w:panose1 w:val="02000503030000020004"/>
    <w:charset w:val="00"/>
    <w:family w:val="auto"/>
    <w:pitch w:val="variable"/>
    <w:sig w:usb0="800002AF" w:usb1="4000206A" w:usb2="00000000" w:usb3="00000000" w:csb0="0000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3781A7" w14:textId="77777777" w:rsidR="00F05DBF" w:rsidRDefault="00F05DBF" w:rsidP="00F05DBF">
    <w:pPr>
      <w:pStyle w:val="Piedepgina"/>
      <w:ind w:left="-1701"/>
    </w:pPr>
    <w:r>
      <w:rPr>
        <w:noProof/>
        <w:lang w:eastAsia="es-ES_tradnl"/>
      </w:rPr>
      <w:drawing>
        <wp:inline distT="0" distB="0" distL="0" distR="0" wp14:anchorId="3B94B60A" wp14:editId="53187154">
          <wp:extent cx="7595057" cy="659130"/>
          <wp:effectExtent l="0" t="0" r="0" b="127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lantilla nota de prensa E 2021.jpg"/>
                  <pic:cNvPicPr/>
                </pic:nvPicPr>
                <pic:blipFill rotWithShape="1">
                  <a:blip r:embed="rId1">
                    <a:extLst>
                      <a:ext uri="{28A0092B-C50C-407E-A947-70E740481C1C}">
                        <a14:useLocalDpi xmlns:a14="http://schemas.microsoft.com/office/drawing/2010/main" val="0"/>
                      </a:ext>
                    </a:extLst>
                  </a:blip>
                  <a:srcRect t="93294"/>
                  <a:stretch/>
                </pic:blipFill>
                <pic:spPr bwMode="auto">
                  <a:xfrm>
                    <a:off x="0" y="0"/>
                    <a:ext cx="7665624" cy="665254"/>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6037F9" w14:textId="77777777" w:rsidR="00470909" w:rsidRDefault="00470909" w:rsidP="00F05DBF">
      <w:r>
        <w:separator/>
      </w:r>
    </w:p>
  </w:footnote>
  <w:footnote w:type="continuationSeparator" w:id="0">
    <w:p w14:paraId="08604A09" w14:textId="77777777" w:rsidR="00470909" w:rsidRDefault="00470909" w:rsidP="00F05DB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F7B737" w14:textId="77777777" w:rsidR="00F05DBF" w:rsidRDefault="00F05DBF" w:rsidP="00F05DBF">
    <w:pPr>
      <w:pStyle w:val="Encabezado"/>
      <w:ind w:left="-1701"/>
    </w:pPr>
    <w:r>
      <w:rPr>
        <w:noProof/>
        <w:lang w:eastAsia="es-ES_tradnl"/>
      </w:rPr>
      <w:drawing>
        <wp:inline distT="0" distB="0" distL="0" distR="0" wp14:anchorId="066D8392" wp14:editId="325D2D04">
          <wp:extent cx="7594600" cy="1790700"/>
          <wp:effectExtent l="0" t="0" r="0" b="1270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lantilla nota de prensa E 2021.jpg"/>
                  <pic:cNvPicPr/>
                </pic:nvPicPr>
                <pic:blipFill rotWithShape="1">
                  <a:blip r:embed="rId1">
                    <a:extLst>
                      <a:ext uri="{28A0092B-C50C-407E-A947-70E740481C1C}">
                        <a14:useLocalDpi xmlns:a14="http://schemas.microsoft.com/office/drawing/2010/main" val="0"/>
                      </a:ext>
                    </a:extLst>
                  </a:blip>
                  <a:srcRect b="82564"/>
                  <a:stretch/>
                </pic:blipFill>
                <pic:spPr bwMode="auto">
                  <a:xfrm>
                    <a:off x="0" y="0"/>
                    <a:ext cx="7595059" cy="1790808"/>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D307FB"/>
    <w:multiLevelType w:val="hybridMultilevel"/>
    <w:tmpl w:val="B4FA7A04"/>
    <w:lvl w:ilvl="0" w:tplc="0292F89A">
      <w:start w:val="2"/>
      <w:numFmt w:val="bullet"/>
      <w:lvlText w:val=""/>
      <w:lvlJc w:val="left"/>
      <w:pPr>
        <w:ind w:left="720" w:hanging="360"/>
      </w:pPr>
      <w:rPr>
        <w:rFonts w:ascii="Symbol" w:eastAsiaTheme="minorHAnsi" w:hAnsi="Symbol" w:cstheme="minorBidi"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
    <w:nsid w:val="338667BE"/>
    <w:multiLevelType w:val="hybridMultilevel"/>
    <w:tmpl w:val="40FC854E"/>
    <w:lvl w:ilvl="0" w:tplc="C9AA0006">
      <w:start w:val="7"/>
      <w:numFmt w:val="bullet"/>
      <w:lvlText w:val=""/>
      <w:lvlJc w:val="left"/>
      <w:pPr>
        <w:ind w:left="720" w:hanging="360"/>
      </w:pPr>
      <w:rPr>
        <w:rFonts w:ascii="Symbol" w:eastAsiaTheme="minorHAnsi" w:hAnsi="Symbol" w:cs="MyriadPro-Regular"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2">
    <w:nsid w:val="584D42F5"/>
    <w:multiLevelType w:val="hybridMultilevel"/>
    <w:tmpl w:val="5B24E472"/>
    <w:lvl w:ilvl="0" w:tplc="AB242922">
      <w:numFmt w:val="bullet"/>
      <w:lvlText w:val=""/>
      <w:lvlJc w:val="left"/>
      <w:pPr>
        <w:ind w:left="720" w:hanging="360"/>
      </w:pPr>
      <w:rPr>
        <w:rFonts w:ascii="Symbol" w:eastAsiaTheme="minorHAnsi" w:hAnsi="Symbol" w:cstheme="minorBidi"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3">
    <w:nsid w:val="59E90890"/>
    <w:multiLevelType w:val="hybridMultilevel"/>
    <w:tmpl w:val="AC966D6E"/>
    <w:lvl w:ilvl="0" w:tplc="B15ED7F0">
      <w:start w:val="12"/>
      <w:numFmt w:val="bullet"/>
      <w:lvlText w:val="-"/>
      <w:lvlJc w:val="left"/>
      <w:pPr>
        <w:ind w:left="720" w:hanging="360"/>
      </w:pPr>
      <w:rPr>
        <w:rFonts w:ascii="Calibri" w:eastAsiaTheme="minorHAnsi" w:hAnsi="Calibri" w:cstheme="minorBid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36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5DBF"/>
    <w:rsid w:val="000038C3"/>
    <w:rsid w:val="00021843"/>
    <w:rsid w:val="000400EB"/>
    <w:rsid w:val="000511EA"/>
    <w:rsid w:val="00097B3A"/>
    <w:rsid w:val="000B4E65"/>
    <w:rsid w:val="000B7AAB"/>
    <w:rsid w:val="000D47FF"/>
    <w:rsid w:val="000E2C7C"/>
    <w:rsid w:val="00126F51"/>
    <w:rsid w:val="00131E98"/>
    <w:rsid w:val="00166578"/>
    <w:rsid w:val="001A5C68"/>
    <w:rsid w:val="001D2EB6"/>
    <w:rsid w:val="001F191A"/>
    <w:rsid w:val="001F30FF"/>
    <w:rsid w:val="00253405"/>
    <w:rsid w:val="002A5543"/>
    <w:rsid w:val="002B48EC"/>
    <w:rsid w:val="003102A6"/>
    <w:rsid w:val="00327598"/>
    <w:rsid w:val="00352582"/>
    <w:rsid w:val="003961F9"/>
    <w:rsid w:val="003D2B3D"/>
    <w:rsid w:val="003D5035"/>
    <w:rsid w:val="0041748B"/>
    <w:rsid w:val="00462D7E"/>
    <w:rsid w:val="00470909"/>
    <w:rsid w:val="00535EED"/>
    <w:rsid w:val="005B601C"/>
    <w:rsid w:val="005C4DA2"/>
    <w:rsid w:val="005E405C"/>
    <w:rsid w:val="005F6A1F"/>
    <w:rsid w:val="0061365F"/>
    <w:rsid w:val="0064182F"/>
    <w:rsid w:val="00645D0B"/>
    <w:rsid w:val="006702AB"/>
    <w:rsid w:val="006773A2"/>
    <w:rsid w:val="00683EF4"/>
    <w:rsid w:val="006A19E2"/>
    <w:rsid w:val="006E190D"/>
    <w:rsid w:val="006F71B0"/>
    <w:rsid w:val="00745FF5"/>
    <w:rsid w:val="00755BE4"/>
    <w:rsid w:val="007A3B66"/>
    <w:rsid w:val="007E4B81"/>
    <w:rsid w:val="00813E05"/>
    <w:rsid w:val="00813E68"/>
    <w:rsid w:val="008429D0"/>
    <w:rsid w:val="00855E2F"/>
    <w:rsid w:val="008965DA"/>
    <w:rsid w:val="008B0169"/>
    <w:rsid w:val="008B027A"/>
    <w:rsid w:val="008C0132"/>
    <w:rsid w:val="00933835"/>
    <w:rsid w:val="009541DD"/>
    <w:rsid w:val="009854DB"/>
    <w:rsid w:val="00990701"/>
    <w:rsid w:val="009D1BBE"/>
    <w:rsid w:val="009F3490"/>
    <w:rsid w:val="00A2031D"/>
    <w:rsid w:val="00A25C31"/>
    <w:rsid w:val="00A41356"/>
    <w:rsid w:val="00A565AC"/>
    <w:rsid w:val="00AB75A3"/>
    <w:rsid w:val="00B14002"/>
    <w:rsid w:val="00B3271F"/>
    <w:rsid w:val="00B35258"/>
    <w:rsid w:val="00B96CBB"/>
    <w:rsid w:val="00BE231A"/>
    <w:rsid w:val="00C16800"/>
    <w:rsid w:val="00C210EA"/>
    <w:rsid w:val="00C31E51"/>
    <w:rsid w:val="00C34C7B"/>
    <w:rsid w:val="00C37EE6"/>
    <w:rsid w:val="00C45F98"/>
    <w:rsid w:val="00C5434B"/>
    <w:rsid w:val="00C8451A"/>
    <w:rsid w:val="00C94431"/>
    <w:rsid w:val="00CD64C6"/>
    <w:rsid w:val="00CE52D6"/>
    <w:rsid w:val="00CF3778"/>
    <w:rsid w:val="00D4475E"/>
    <w:rsid w:val="00D452BA"/>
    <w:rsid w:val="00D663C0"/>
    <w:rsid w:val="00D81BA8"/>
    <w:rsid w:val="00DB624F"/>
    <w:rsid w:val="00DB70CC"/>
    <w:rsid w:val="00DD01DF"/>
    <w:rsid w:val="00DE63EE"/>
    <w:rsid w:val="00E1431E"/>
    <w:rsid w:val="00E3093C"/>
    <w:rsid w:val="00E32D91"/>
    <w:rsid w:val="00E377F6"/>
    <w:rsid w:val="00E46A40"/>
    <w:rsid w:val="00E74DD6"/>
    <w:rsid w:val="00E971EA"/>
    <w:rsid w:val="00EC4EFE"/>
    <w:rsid w:val="00EC5AC7"/>
    <w:rsid w:val="00F05DBF"/>
    <w:rsid w:val="00F268A5"/>
    <w:rsid w:val="00F2767A"/>
    <w:rsid w:val="00F438EB"/>
    <w:rsid w:val="00F44803"/>
    <w:rsid w:val="00F84ABF"/>
    <w:rsid w:val="00F94D9A"/>
    <w:rsid w:val="00FF26F6"/>
    <w:rsid w:val="00FF5294"/>
  </w:rsids>
  <m:mathPr>
    <m:mathFont m:val="Cambria Math"/>
    <m:brkBin m:val="before"/>
    <m:brkBinSub m:val="--"/>
    <m:smallFrac m:val="0"/>
    <m:dispDef/>
    <m:lMargin m:val="0"/>
    <m:rMargin m:val="0"/>
    <m:defJc m:val="centerGroup"/>
    <m:wrapIndent m:val="1440"/>
    <m:intLim m:val="subSup"/>
    <m:naryLim m:val="undOvr"/>
  </m:mathPr>
  <w:themeFontLang w:val="es-ES_tradnl"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0793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05DBF"/>
    <w:pPr>
      <w:tabs>
        <w:tab w:val="center" w:pos="4252"/>
        <w:tab w:val="right" w:pos="8504"/>
      </w:tabs>
    </w:pPr>
  </w:style>
  <w:style w:type="character" w:customStyle="1" w:styleId="EncabezadoCar">
    <w:name w:val="Encabezado Car"/>
    <w:basedOn w:val="Fuentedeprrafopredeter"/>
    <w:link w:val="Encabezado"/>
    <w:uiPriority w:val="99"/>
    <w:rsid w:val="00F05DBF"/>
  </w:style>
  <w:style w:type="paragraph" w:styleId="Piedepgina">
    <w:name w:val="footer"/>
    <w:basedOn w:val="Normal"/>
    <w:link w:val="PiedepginaCar"/>
    <w:uiPriority w:val="99"/>
    <w:unhideWhenUsed/>
    <w:rsid w:val="00F05DBF"/>
    <w:pPr>
      <w:tabs>
        <w:tab w:val="center" w:pos="4252"/>
        <w:tab w:val="right" w:pos="8504"/>
      </w:tabs>
    </w:pPr>
  </w:style>
  <w:style w:type="character" w:customStyle="1" w:styleId="PiedepginaCar">
    <w:name w:val="Pie de página Car"/>
    <w:basedOn w:val="Fuentedeprrafopredeter"/>
    <w:link w:val="Piedepgina"/>
    <w:uiPriority w:val="99"/>
    <w:rsid w:val="00F05DBF"/>
  </w:style>
  <w:style w:type="paragraph" w:customStyle="1" w:styleId="p1">
    <w:name w:val="p1"/>
    <w:basedOn w:val="Normal"/>
    <w:rsid w:val="00F05DBF"/>
    <w:rPr>
      <w:rFonts w:ascii="Akzidenz-Grotesk BQ" w:hAnsi="Akzidenz-Grotesk BQ" w:cs="Times New Roman"/>
      <w:color w:val="000006"/>
      <w:sz w:val="30"/>
      <w:szCs w:val="30"/>
      <w:lang w:eastAsia="es-ES_tradnl"/>
    </w:rPr>
  </w:style>
  <w:style w:type="paragraph" w:customStyle="1" w:styleId="p2">
    <w:name w:val="p2"/>
    <w:basedOn w:val="Normal"/>
    <w:rsid w:val="00F05DBF"/>
    <w:pPr>
      <w:jc w:val="both"/>
    </w:pPr>
    <w:rPr>
      <w:rFonts w:ascii="Abel" w:hAnsi="Abel" w:cs="Times New Roman"/>
      <w:sz w:val="18"/>
      <w:szCs w:val="18"/>
      <w:lang w:eastAsia="es-ES_tradnl"/>
    </w:rPr>
  </w:style>
  <w:style w:type="character" w:customStyle="1" w:styleId="s1">
    <w:name w:val="s1"/>
    <w:basedOn w:val="Fuentedeprrafopredeter"/>
    <w:rsid w:val="00F05DBF"/>
  </w:style>
  <w:style w:type="character" w:customStyle="1" w:styleId="apple-converted-space">
    <w:name w:val="apple-converted-space"/>
    <w:basedOn w:val="Fuentedeprrafopredeter"/>
    <w:rsid w:val="00F05DBF"/>
  </w:style>
  <w:style w:type="paragraph" w:customStyle="1" w:styleId="p3">
    <w:name w:val="p3"/>
    <w:basedOn w:val="Normal"/>
    <w:rsid w:val="006773A2"/>
    <w:pPr>
      <w:spacing w:after="120"/>
      <w:jc w:val="both"/>
    </w:pPr>
    <w:rPr>
      <w:rFonts w:ascii="Calibri" w:hAnsi="Calibri" w:cs="Times New Roman"/>
      <w:sz w:val="17"/>
      <w:szCs w:val="17"/>
      <w:lang w:eastAsia="es-ES_tradnl"/>
    </w:rPr>
  </w:style>
  <w:style w:type="character" w:customStyle="1" w:styleId="apple-tab-span">
    <w:name w:val="apple-tab-span"/>
    <w:basedOn w:val="Fuentedeprrafopredeter"/>
    <w:rsid w:val="006773A2"/>
  </w:style>
  <w:style w:type="paragraph" w:styleId="Prrafodelista">
    <w:name w:val="List Paragraph"/>
    <w:basedOn w:val="Normal"/>
    <w:uiPriority w:val="34"/>
    <w:qFormat/>
    <w:rsid w:val="00DD01DF"/>
    <w:pPr>
      <w:ind w:left="720"/>
      <w:contextualSpacing/>
    </w:pPr>
  </w:style>
  <w:style w:type="paragraph" w:styleId="NormalWeb">
    <w:name w:val="Normal (Web)"/>
    <w:basedOn w:val="Normal"/>
    <w:uiPriority w:val="99"/>
    <w:unhideWhenUsed/>
    <w:rsid w:val="00D663C0"/>
    <w:pPr>
      <w:spacing w:before="100" w:beforeAutospacing="1" w:after="100" w:afterAutospacing="1"/>
    </w:pPr>
    <w:rPr>
      <w:rFonts w:ascii="Times New Roman" w:hAnsi="Times New Roman" w:cs="Times New Roman"/>
      <w:lang w:eastAsia="es-ES_tradnl"/>
    </w:rPr>
  </w:style>
  <w:style w:type="character" w:customStyle="1" w:styleId="s2">
    <w:name w:val="s2"/>
    <w:basedOn w:val="Fuentedeprrafopredeter"/>
    <w:rsid w:val="007E4B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204419">
      <w:bodyDiv w:val="1"/>
      <w:marLeft w:val="0"/>
      <w:marRight w:val="0"/>
      <w:marTop w:val="0"/>
      <w:marBottom w:val="0"/>
      <w:divBdr>
        <w:top w:val="none" w:sz="0" w:space="0" w:color="auto"/>
        <w:left w:val="none" w:sz="0" w:space="0" w:color="auto"/>
        <w:bottom w:val="none" w:sz="0" w:space="0" w:color="auto"/>
        <w:right w:val="none" w:sz="0" w:space="0" w:color="auto"/>
      </w:divBdr>
    </w:div>
    <w:div w:id="468400711">
      <w:bodyDiv w:val="1"/>
      <w:marLeft w:val="0"/>
      <w:marRight w:val="0"/>
      <w:marTop w:val="0"/>
      <w:marBottom w:val="0"/>
      <w:divBdr>
        <w:top w:val="none" w:sz="0" w:space="0" w:color="auto"/>
        <w:left w:val="none" w:sz="0" w:space="0" w:color="auto"/>
        <w:bottom w:val="none" w:sz="0" w:space="0" w:color="auto"/>
        <w:right w:val="none" w:sz="0" w:space="0" w:color="auto"/>
      </w:divBdr>
    </w:div>
    <w:div w:id="693000300">
      <w:bodyDiv w:val="1"/>
      <w:marLeft w:val="0"/>
      <w:marRight w:val="0"/>
      <w:marTop w:val="0"/>
      <w:marBottom w:val="0"/>
      <w:divBdr>
        <w:top w:val="none" w:sz="0" w:space="0" w:color="auto"/>
        <w:left w:val="none" w:sz="0" w:space="0" w:color="auto"/>
        <w:bottom w:val="none" w:sz="0" w:space="0" w:color="auto"/>
        <w:right w:val="none" w:sz="0" w:space="0" w:color="auto"/>
      </w:divBdr>
    </w:div>
    <w:div w:id="931861145">
      <w:bodyDiv w:val="1"/>
      <w:marLeft w:val="0"/>
      <w:marRight w:val="0"/>
      <w:marTop w:val="0"/>
      <w:marBottom w:val="0"/>
      <w:divBdr>
        <w:top w:val="none" w:sz="0" w:space="0" w:color="auto"/>
        <w:left w:val="none" w:sz="0" w:space="0" w:color="auto"/>
        <w:bottom w:val="none" w:sz="0" w:space="0" w:color="auto"/>
        <w:right w:val="none" w:sz="0" w:space="0" w:color="auto"/>
      </w:divBdr>
    </w:div>
    <w:div w:id="1280798160">
      <w:bodyDiv w:val="1"/>
      <w:marLeft w:val="0"/>
      <w:marRight w:val="0"/>
      <w:marTop w:val="0"/>
      <w:marBottom w:val="0"/>
      <w:divBdr>
        <w:top w:val="none" w:sz="0" w:space="0" w:color="auto"/>
        <w:left w:val="none" w:sz="0" w:space="0" w:color="auto"/>
        <w:bottom w:val="none" w:sz="0" w:space="0" w:color="auto"/>
        <w:right w:val="none" w:sz="0" w:space="0" w:color="auto"/>
      </w:divBdr>
    </w:div>
    <w:div w:id="1410811553">
      <w:bodyDiv w:val="1"/>
      <w:marLeft w:val="0"/>
      <w:marRight w:val="0"/>
      <w:marTop w:val="0"/>
      <w:marBottom w:val="0"/>
      <w:divBdr>
        <w:top w:val="none" w:sz="0" w:space="0" w:color="auto"/>
        <w:left w:val="none" w:sz="0" w:space="0" w:color="auto"/>
        <w:bottom w:val="none" w:sz="0" w:space="0" w:color="auto"/>
        <w:right w:val="none" w:sz="0" w:space="0" w:color="auto"/>
      </w:divBdr>
    </w:div>
    <w:div w:id="1472945189">
      <w:bodyDiv w:val="1"/>
      <w:marLeft w:val="0"/>
      <w:marRight w:val="0"/>
      <w:marTop w:val="0"/>
      <w:marBottom w:val="0"/>
      <w:divBdr>
        <w:top w:val="none" w:sz="0" w:space="0" w:color="auto"/>
        <w:left w:val="none" w:sz="0" w:space="0" w:color="auto"/>
        <w:bottom w:val="none" w:sz="0" w:space="0" w:color="auto"/>
        <w:right w:val="none" w:sz="0" w:space="0" w:color="auto"/>
      </w:divBdr>
    </w:div>
    <w:div w:id="1620723029">
      <w:bodyDiv w:val="1"/>
      <w:marLeft w:val="0"/>
      <w:marRight w:val="0"/>
      <w:marTop w:val="0"/>
      <w:marBottom w:val="0"/>
      <w:divBdr>
        <w:top w:val="none" w:sz="0" w:space="0" w:color="auto"/>
        <w:left w:val="none" w:sz="0" w:space="0" w:color="auto"/>
        <w:bottom w:val="none" w:sz="0" w:space="0" w:color="auto"/>
        <w:right w:val="none" w:sz="0" w:space="0" w:color="auto"/>
      </w:divBdr>
    </w:div>
    <w:div w:id="1748501322">
      <w:bodyDiv w:val="1"/>
      <w:marLeft w:val="0"/>
      <w:marRight w:val="0"/>
      <w:marTop w:val="0"/>
      <w:marBottom w:val="0"/>
      <w:divBdr>
        <w:top w:val="none" w:sz="0" w:space="0" w:color="auto"/>
        <w:left w:val="none" w:sz="0" w:space="0" w:color="auto"/>
        <w:bottom w:val="none" w:sz="0" w:space="0" w:color="auto"/>
        <w:right w:val="none" w:sz="0" w:space="0" w:color="auto"/>
      </w:divBdr>
    </w:div>
    <w:div w:id="1859663106">
      <w:bodyDiv w:val="1"/>
      <w:marLeft w:val="0"/>
      <w:marRight w:val="0"/>
      <w:marTop w:val="0"/>
      <w:marBottom w:val="0"/>
      <w:divBdr>
        <w:top w:val="none" w:sz="0" w:space="0" w:color="auto"/>
        <w:left w:val="none" w:sz="0" w:space="0" w:color="auto"/>
        <w:bottom w:val="none" w:sz="0" w:space="0" w:color="auto"/>
        <w:right w:val="none" w:sz="0" w:space="0" w:color="auto"/>
      </w:divBdr>
    </w:div>
    <w:div w:id="1889612324">
      <w:bodyDiv w:val="1"/>
      <w:marLeft w:val="0"/>
      <w:marRight w:val="0"/>
      <w:marTop w:val="0"/>
      <w:marBottom w:val="0"/>
      <w:divBdr>
        <w:top w:val="none" w:sz="0" w:space="0" w:color="auto"/>
        <w:left w:val="none" w:sz="0" w:space="0" w:color="auto"/>
        <w:bottom w:val="none" w:sz="0" w:space="0" w:color="auto"/>
        <w:right w:val="none" w:sz="0" w:space="0" w:color="auto"/>
      </w:divBdr>
    </w:div>
    <w:div w:id="201395320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565</Words>
  <Characters>3109</Characters>
  <Application>Microsoft Macintosh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3667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Usuario de Microsoft Office</cp:lastModifiedBy>
  <cp:revision>3</cp:revision>
  <dcterms:created xsi:type="dcterms:W3CDTF">2021-02-25T15:59:00Z</dcterms:created>
  <dcterms:modified xsi:type="dcterms:W3CDTF">2021-02-25T16:08:00Z</dcterms:modified>
</cp:coreProperties>
</file>